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41" w:rsidRPr="00E61652" w:rsidRDefault="00C41941" w:rsidP="00C41941">
      <w:pPr>
        <w:pStyle w:val="ListParagraph"/>
        <w:spacing w:after="0" w:line="240" w:lineRule="auto"/>
        <w:ind w:left="0"/>
        <w:jc w:val="center"/>
        <w:rPr>
          <w:rFonts w:ascii="Times New Roman" w:hAnsi="Times New Roman"/>
          <w:b/>
          <w:sz w:val="20"/>
          <w:szCs w:val="20"/>
          <w:lang w:val="id-ID"/>
        </w:rPr>
      </w:pPr>
      <w:r w:rsidRPr="00E61652">
        <w:rPr>
          <w:rFonts w:ascii="Times New Roman" w:hAnsi="Times New Roman"/>
          <w:b/>
          <w:sz w:val="28"/>
          <w:szCs w:val="28"/>
        </w:rPr>
        <w:t xml:space="preserve">The Prevalence of </w:t>
      </w:r>
      <w:proofErr w:type="spellStart"/>
      <w:r w:rsidRPr="00E61652">
        <w:rPr>
          <w:rFonts w:ascii="Times New Roman" w:hAnsi="Times New Roman"/>
          <w:b/>
          <w:sz w:val="28"/>
          <w:szCs w:val="28"/>
        </w:rPr>
        <w:t>Hyperuricemia</w:t>
      </w:r>
      <w:proofErr w:type="spellEnd"/>
      <w:r w:rsidRPr="00E61652">
        <w:rPr>
          <w:rFonts w:ascii="Times New Roman" w:hAnsi="Times New Roman"/>
          <w:b/>
          <w:sz w:val="28"/>
          <w:szCs w:val="28"/>
        </w:rPr>
        <w:t xml:space="preserve"> and Associated Factors in </w:t>
      </w:r>
      <w:proofErr w:type="spellStart"/>
      <w:r w:rsidRPr="00E61652">
        <w:rPr>
          <w:rFonts w:ascii="Times New Roman" w:hAnsi="Times New Roman"/>
          <w:b/>
          <w:sz w:val="28"/>
          <w:szCs w:val="28"/>
        </w:rPr>
        <w:t>Depok</w:t>
      </w:r>
      <w:proofErr w:type="spellEnd"/>
    </w:p>
    <w:p w:rsidR="00E61652" w:rsidRPr="00E61652" w:rsidRDefault="00E61652" w:rsidP="00C41941">
      <w:pPr>
        <w:pStyle w:val="ListParagraph"/>
        <w:spacing w:after="0" w:line="240" w:lineRule="auto"/>
        <w:ind w:left="0"/>
        <w:jc w:val="center"/>
        <w:rPr>
          <w:rFonts w:ascii="Times New Roman" w:hAnsi="Times New Roman"/>
          <w:b/>
          <w:sz w:val="20"/>
          <w:szCs w:val="20"/>
          <w:lang w:val="id-ID"/>
        </w:rPr>
      </w:pPr>
    </w:p>
    <w:p w:rsidR="00C41941" w:rsidRPr="00E61652" w:rsidRDefault="00C41941" w:rsidP="00C41941">
      <w:pPr>
        <w:pStyle w:val="ListParagraph"/>
        <w:spacing w:after="0" w:line="240" w:lineRule="auto"/>
        <w:ind w:left="0"/>
        <w:jc w:val="center"/>
        <w:rPr>
          <w:rFonts w:ascii="Times New Roman" w:hAnsi="Times New Roman"/>
          <w:sz w:val="24"/>
          <w:szCs w:val="24"/>
          <w:lang w:val="en-GB"/>
        </w:rPr>
      </w:pPr>
      <w:r w:rsidRPr="00E61652">
        <w:rPr>
          <w:rFonts w:ascii="Times New Roman" w:hAnsi="Times New Roman"/>
          <w:sz w:val="24"/>
          <w:szCs w:val="24"/>
          <w:lang w:val="id-ID"/>
        </w:rPr>
        <w:t>Eflita Meiyetriani</w:t>
      </w:r>
      <w:r w:rsidRPr="00E61652">
        <w:rPr>
          <w:rFonts w:ascii="Times New Roman" w:hAnsi="Times New Roman"/>
          <w:sz w:val="24"/>
          <w:szCs w:val="24"/>
          <w:vertAlign w:val="superscript"/>
          <w:lang w:val="id-ID"/>
        </w:rPr>
        <w:t>1</w:t>
      </w:r>
      <w:r w:rsidRPr="00E61652">
        <w:rPr>
          <w:rFonts w:ascii="Times New Roman" w:hAnsi="Times New Roman"/>
          <w:sz w:val="24"/>
          <w:szCs w:val="24"/>
          <w:vertAlign w:val="superscript"/>
        </w:rPr>
        <w:t>,2</w:t>
      </w:r>
      <w:r w:rsidRPr="00E61652">
        <w:rPr>
          <w:rFonts w:ascii="Times New Roman" w:hAnsi="Times New Roman"/>
          <w:sz w:val="24"/>
          <w:szCs w:val="24"/>
          <w:lang w:val="id-ID"/>
        </w:rPr>
        <w:t>, Hamzah</w:t>
      </w:r>
      <w:r w:rsidRPr="00E61652">
        <w:rPr>
          <w:rFonts w:ascii="Times New Roman" w:hAnsi="Times New Roman"/>
          <w:sz w:val="24"/>
          <w:szCs w:val="24"/>
          <w:vertAlign w:val="superscript"/>
          <w:lang w:val="en-GB"/>
        </w:rPr>
        <w:t>3</w:t>
      </w:r>
      <w:r w:rsidRPr="00E61652">
        <w:rPr>
          <w:rFonts w:ascii="Times New Roman" w:hAnsi="Times New Roman"/>
          <w:sz w:val="24"/>
          <w:szCs w:val="24"/>
          <w:lang w:val="id-ID"/>
        </w:rPr>
        <w:t>, Florensia Lima</w:t>
      </w:r>
      <w:r w:rsidRPr="00E61652">
        <w:rPr>
          <w:rFonts w:ascii="Times New Roman" w:hAnsi="Times New Roman"/>
          <w:sz w:val="24"/>
          <w:szCs w:val="24"/>
          <w:vertAlign w:val="superscript"/>
          <w:lang w:val="en-GB"/>
        </w:rPr>
        <w:t>4</w:t>
      </w:r>
    </w:p>
    <w:p w:rsidR="00C41941" w:rsidRPr="00E61652" w:rsidRDefault="00C41941" w:rsidP="00C41941">
      <w:pPr>
        <w:pStyle w:val="ListParagraph"/>
        <w:spacing w:after="0" w:line="240" w:lineRule="auto"/>
        <w:ind w:left="0"/>
        <w:rPr>
          <w:rFonts w:ascii="Times New Roman" w:hAnsi="Times New Roman"/>
        </w:rPr>
      </w:pPr>
    </w:p>
    <w:p w:rsidR="00C41941" w:rsidRPr="00E61652" w:rsidRDefault="00E61652" w:rsidP="00E61652">
      <w:pPr>
        <w:pStyle w:val="ListParagraph"/>
        <w:spacing w:after="0" w:line="240" w:lineRule="auto"/>
        <w:ind w:left="0"/>
        <w:jc w:val="center"/>
        <w:rPr>
          <w:rFonts w:ascii="Times New Roman" w:hAnsi="Times New Roman"/>
          <w:sz w:val="20"/>
          <w:szCs w:val="20"/>
          <w:lang w:val="id-ID"/>
        </w:rPr>
      </w:pPr>
      <w:r w:rsidRPr="00E61652">
        <w:rPr>
          <w:rFonts w:ascii="Times New Roman" w:hAnsi="Times New Roman"/>
          <w:sz w:val="20"/>
          <w:szCs w:val="20"/>
          <w:vertAlign w:val="superscript"/>
          <w:lang w:val="id-ID"/>
        </w:rPr>
        <w:t>1</w:t>
      </w:r>
      <w:r w:rsidR="00C41941" w:rsidRPr="00E61652">
        <w:rPr>
          <w:rFonts w:ascii="Times New Roman" w:hAnsi="Times New Roman"/>
          <w:sz w:val="20"/>
          <w:szCs w:val="20"/>
        </w:rPr>
        <w:t xml:space="preserve">Department of Nutrition, </w:t>
      </w:r>
      <w:r w:rsidR="00C41941" w:rsidRPr="00E61652">
        <w:rPr>
          <w:rFonts w:ascii="Times New Roman" w:hAnsi="Times New Roman"/>
          <w:sz w:val="20"/>
          <w:szCs w:val="20"/>
          <w:lang w:val="id-ID"/>
        </w:rPr>
        <w:t>Faculty of Health Sciences University of Pembangunan Nasional “Veteran” Jakarta</w:t>
      </w:r>
    </w:p>
    <w:p w:rsidR="00C41941" w:rsidRPr="00E61652" w:rsidRDefault="00E61652" w:rsidP="00E61652">
      <w:pPr>
        <w:pStyle w:val="ListParagraph"/>
        <w:spacing w:after="0" w:line="240" w:lineRule="auto"/>
        <w:ind w:left="0"/>
        <w:jc w:val="center"/>
        <w:rPr>
          <w:rFonts w:ascii="Times New Roman" w:hAnsi="Times New Roman"/>
          <w:sz w:val="20"/>
          <w:szCs w:val="20"/>
        </w:rPr>
      </w:pPr>
      <w:r w:rsidRPr="00E61652">
        <w:rPr>
          <w:rFonts w:ascii="Times New Roman" w:hAnsi="Times New Roman"/>
          <w:sz w:val="20"/>
          <w:szCs w:val="20"/>
          <w:vertAlign w:val="superscript"/>
          <w:lang w:val="id-ID"/>
        </w:rPr>
        <w:t>2</w:t>
      </w:r>
      <w:r w:rsidR="00C41941" w:rsidRPr="00E61652">
        <w:rPr>
          <w:rFonts w:ascii="Times New Roman" w:hAnsi="Times New Roman"/>
          <w:sz w:val="20"/>
          <w:szCs w:val="20"/>
        </w:rPr>
        <w:t xml:space="preserve"> SEAMEO RECFON</w:t>
      </w:r>
    </w:p>
    <w:p w:rsidR="00C41941" w:rsidRPr="00E61652" w:rsidRDefault="00E61652" w:rsidP="00E61652">
      <w:pPr>
        <w:pStyle w:val="ListParagraph"/>
        <w:spacing w:after="0" w:line="240" w:lineRule="auto"/>
        <w:ind w:left="0"/>
        <w:jc w:val="center"/>
        <w:rPr>
          <w:rFonts w:ascii="Times New Roman" w:hAnsi="Times New Roman"/>
          <w:sz w:val="20"/>
          <w:szCs w:val="20"/>
          <w:lang w:val="en-GB"/>
        </w:rPr>
      </w:pPr>
      <w:r w:rsidRPr="00E61652">
        <w:rPr>
          <w:rFonts w:ascii="Times New Roman" w:hAnsi="Times New Roman"/>
          <w:sz w:val="20"/>
          <w:szCs w:val="20"/>
          <w:vertAlign w:val="superscript"/>
          <w:lang w:val="id-ID"/>
        </w:rPr>
        <w:t>3</w:t>
      </w:r>
      <w:r w:rsidR="00C41941" w:rsidRPr="00E61652">
        <w:rPr>
          <w:rFonts w:ascii="Times New Roman" w:hAnsi="Times New Roman"/>
          <w:sz w:val="20"/>
          <w:szCs w:val="20"/>
        </w:rPr>
        <w:t xml:space="preserve">Department of Public Health, </w:t>
      </w:r>
      <w:r w:rsidR="00C41941" w:rsidRPr="00E61652">
        <w:rPr>
          <w:rFonts w:ascii="Times New Roman" w:hAnsi="Times New Roman"/>
          <w:sz w:val="20"/>
          <w:szCs w:val="20"/>
          <w:lang w:val="id-ID"/>
        </w:rPr>
        <w:t>Faculty of Health Sciences University of Pembangunan Nasional “Veteran” Jakarta</w:t>
      </w:r>
    </w:p>
    <w:p w:rsidR="00C41941" w:rsidRPr="00E61652" w:rsidRDefault="00E61652" w:rsidP="00E61652">
      <w:pPr>
        <w:pStyle w:val="ListParagraph"/>
        <w:spacing w:after="0" w:line="240" w:lineRule="auto"/>
        <w:ind w:left="0"/>
        <w:jc w:val="center"/>
        <w:rPr>
          <w:rFonts w:ascii="Times New Roman" w:hAnsi="Times New Roman"/>
          <w:sz w:val="20"/>
          <w:szCs w:val="20"/>
          <w:lang w:val="id-ID"/>
        </w:rPr>
      </w:pPr>
      <w:r w:rsidRPr="00E61652">
        <w:rPr>
          <w:rFonts w:ascii="Times New Roman" w:hAnsi="Times New Roman"/>
          <w:sz w:val="20"/>
          <w:szCs w:val="20"/>
          <w:vertAlign w:val="superscript"/>
          <w:lang w:val="id-ID"/>
        </w:rPr>
        <w:t>4</w:t>
      </w:r>
      <w:r w:rsidR="00C41941" w:rsidRPr="00E61652">
        <w:rPr>
          <w:rFonts w:ascii="Times New Roman" w:hAnsi="Times New Roman"/>
          <w:sz w:val="20"/>
          <w:szCs w:val="20"/>
          <w:lang w:val="en-GB"/>
        </w:rPr>
        <w:t xml:space="preserve">Department of Nursing, </w:t>
      </w:r>
      <w:r w:rsidR="00C41941" w:rsidRPr="00E61652">
        <w:rPr>
          <w:rFonts w:ascii="Times New Roman" w:hAnsi="Times New Roman"/>
          <w:sz w:val="20"/>
          <w:szCs w:val="20"/>
          <w:lang w:val="id-ID"/>
        </w:rPr>
        <w:t>Faculty of Health Sciences University of Pembangunan Nasional “Veteran” Jakarta</w:t>
      </w:r>
    </w:p>
    <w:p w:rsidR="00E61652" w:rsidRPr="00E61652" w:rsidRDefault="00E61652" w:rsidP="00E61652">
      <w:pPr>
        <w:pStyle w:val="ListParagraph"/>
        <w:spacing w:after="0" w:line="240" w:lineRule="auto"/>
        <w:ind w:left="0"/>
        <w:jc w:val="center"/>
        <w:rPr>
          <w:rFonts w:ascii="Times New Roman" w:hAnsi="Times New Roman"/>
          <w:lang w:val="en-GB"/>
        </w:rPr>
      </w:pPr>
    </w:p>
    <w:p w:rsidR="00C41941" w:rsidRPr="00E61652" w:rsidRDefault="00E61652" w:rsidP="00E61652">
      <w:pPr>
        <w:pStyle w:val="ListParagraph"/>
        <w:spacing w:after="0" w:line="240" w:lineRule="auto"/>
        <w:ind w:left="0"/>
        <w:jc w:val="center"/>
        <w:rPr>
          <w:rFonts w:ascii="Times New Roman" w:hAnsi="Times New Roman"/>
          <w:sz w:val="20"/>
          <w:szCs w:val="20"/>
        </w:rPr>
      </w:pPr>
      <w:r w:rsidRPr="00E61652">
        <w:rPr>
          <w:rFonts w:ascii="Times New Roman" w:hAnsi="Times New Roman"/>
          <w:sz w:val="20"/>
          <w:szCs w:val="20"/>
        </w:rPr>
        <w:t>Correspond</w:t>
      </w:r>
      <w:r w:rsidRPr="00E61652">
        <w:rPr>
          <w:rFonts w:ascii="Times New Roman" w:hAnsi="Times New Roman"/>
          <w:sz w:val="20"/>
          <w:szCs w:val="20"/>
          <w:lang w:val="id-ID"/>
        </w:rPr>
        <w:t xml:space="preserve">ing </w:t>
      </w:r>
      <w:proofErr w:type="gramStart"/>
      <w:r w:rsidRPr="00E61652">
        <w:rPr>
          <w:rFonts w:ascii="Times New Roman" w:hAnsi="Times New Roman"/>
          <w:sz w:val="20"/>
          <w:szCs w:val="20"/>
          <w:lang w:val="id-ID"/>
        </w:rPr>
        <w:t xml:space="preserve">author </w:t>
      </w:r>
      <w:r w:rsidR="00C41941" w:rsidRPr="00E61652">
        <w:rPr>
          <w:rFonts w:ascii="Times New Roman" w:hAnsi="Times New Roman"/>
          <w:sz w:val="20"/>
          <w:szCs w:val="20"/>
        </w:rPr>
        <w:t>:</w:t>
      </w:r>
      <w:proofErr w:type="gramEnd"/>
      <w:r w:rsidR="00C41941" w:rsidRPr="00E61652">
        <w:rPr>
          <w:rFonts w:ascii="Times New Roman" w:hAnsi="Times New Roman"/>
          <w:sz w:val="20"/>
          <w:szCs w:val="20"/>
        </w:rPr>
        <w:t xml:space="preserve"> </w:t>
      </w:r>
      <w:hyperlink r:id="rId5" w:history="1">
        <w:r w:rsidR="00C41941" w:rsidRPr="00E61652">
          <w:rPr>
            <w:rStyle w:val="Hyperlink"/>
            <w:rFonts w:ascii="Times New Roman" w:hAnsi="Times New Roman"/>
            <w:color w:val="auto"/>
            <w:sz w:val="20"/>
            <w:szCs w:val="20"/>
          </w:rPr>
          <w:t>eflita@seameo-recfon.org</w:t>
        </w:r>
      </w:hyperlink>
    </w:p>
    <w:p w:rsidR="00C41941" w:rsidRPr="00E61652" w:rsidRDefault="00C41941" w:rsidP="00C41941">
      <w:pPr>
        <w:pStyle w:val="ListParagraph"/>
        <w:spacing w:after="0" w:line="240" w:lineRule="auto"/>
        <w:ind w:left="0"/>
        <w:rPr>
          <w:rFonts w:ascii="Times New Roman" w:hAnsi="Times New Roman"/>
        </w:rPr>
      </w:pPr>
    </w:p>
    <w:p w:rsidR="00F00065" w:rsidRPr="00E61652" w:rsidRDefault="00F00065" w:rsidP="00C41941">
      <w:pPr>
        <w:pStyle w:val="ListParagraph"/>
        <w:spacing w:after="0" w:line="240" w:lineRule="auto"/>
        <w:ind w:left="0"/>
        <w:rPr>
          <w:rFonts w:ascii="Times New Roman" w:hAnsi="Times New Roman"/>
        </w:rPr>
      </w:pPr>
    </w:p>
    <w:p w:rsidR="00C41941" w:rsidRPr="00E61652" w:rsidRDefault="00C41941" w:rsidP="00C41941">
      <w:pPr>
        <w:pStyle w:val="ListParagraph"/>
        <w:spacing w:after="0" w:line="240" w:lineRule="auto"/>
        <w:ind w:left="0"/>
        <w:jc w:val="center"/>
        <w:rPr>
          <w:rFonts w:ascii="Times New Roman" w:hAnsi="Times New Roman"/>
          <w:b/>
          <w:sz w:val="24"/>
          <w:szCs w:val="24"/>
          <w:lang w:val="en-GB"/>
        </w:rPr>
      </w:pPr>
      <w:r w:rsidRPr="00E61652">
        <w:rPr>
          <w:rFonts w:ascii="Times New Roman" w:hAnsi="Times New Roman"/>
          <w:b/>
          <w:sz w:val="24"/>
          <w:szCs w:val="24"/>
          <w:lang w:val="id-ID"/>
        </w:rPr>
        <w:t>ABSTRAK</w:t>
      </w:r>
    </w:p>
    <w:p w:rsidR="00F00065" w:rsidRPr="00E61652" w:rsidRDefault="00F00065" w:rsidP="00C41941">
      <w:pPr>
        <w:pStyle w:val="ListParagraph"/>
        <w:spacing w:after="0" w:line="240" w:lineRule="auto"/>
        <w:ind w:left="0"/>
        <w:jc w:val="center"/>
        <w:rPr>
          <w:rFonts w:ascii="Times New Roman" w:hAnsi="Times New Roman"/>
          <w:b/>
          <w:sz w:val="24"/>
          <w:szCs w:val="24"/>
          <w:lang w:val="en-GB"/>
        </w:rPr>
      </w:pPr>
    </w:p>
    <w:p w:rsidR="00C41941" w:rsidRPr="00E61652" w:rsidRDefault="00F5410D" w:rsidP="00C41941">
      <w:pPr>
        <w:pStyle w:val="ListParagraph"/>
        <w:spacing w:after="0" w:line="240" w:lineRule="auto"/>
        <w:ind w:left="0"/>
        <w:jc w:val="both"/>
        <w:rPr>
          <w:rFonts w:ascii="Times New Roman" w:hAnsi="Times New Roman"/>
          <w:sz w:val="24"/>
          <w:szCs w:val="24"/>
          <w:lang w:val="en-GB"/>
        </w:rPr>
      </w:pPr>
      <w:proofErr w:type="spellStart"/>
      <w:r w:rsidRPr="00E61652">
        <w:rPr>
          <w:rFonts w:ascii="Times New Roman" w:hAnsi="Times New Roman"/>
          <w:sz w:val="24"/>
          <w:szCs w:val="24"/>
          <w:lang w:val="en-GB"/>
        </w:rPr>
        <w:t>Dalam</w:t>
      </w:r>
      <w:proofErr w:type="spellEnd"/>
      <w:r w:rsidRPr="00E61652">
        <w:rPr>
          <w:rFonts w:ascii="Times New Roman" w:hAnsi="Times New Roman"/>
          <w:sz w:val="24"/>
          <w:szCs w:val="24"/>
          <w:lang w:val="en-GB"/>
        </w:rPr>
        <w:t xml:space="preserve"> </w:t>
      </w:r>
      <w:proofErr w:type="spellStart"/>
      <w:r w:rsidRPr="00E61652">
        <w:rPr>
          <w:rFonts w:ascii="Times New Roman" w:hAnsi="Times New Roman"/>
          <w:sz w:val="24"/>
          <w:szCs w:val="24"/>
          <w:lang w:val="en-GB"/>
        </w:rPr>
        <w:t>beberapa</w:t>
      </w:r>
      <w:proofErr w:type="spellEnd"/>
      <w:r w:rsidRPr="00E61652">
        <w:rPr>
          <w:rFonts w:ascii="Times New Roman" w:hAnsi="Times New Roman"/>
          <w:sz w:val="24"/>
          <w:szCs w:val="24"/>
          <w:lang w:val="en-GB"/>
        </w:rPr>
        <w:t xml:space="preserve"> </w:t>
      </w:r>
      <w:proofErr w:type="spellStart"/>
      <w:r w:rsidRPr="00E61652">
        <w:rPr>
          <w:rFonts w:ascii="Times New Roman" w:hAnsi="Times New Roman"/>
          <w:sz w:val="24"/>
          <w:szCs w:val="24"/>
          <w:lang w:val="en-GB"/>
        </w:rPr>
        <w:t>tahun</w:t>
      </w:r>
      <w:proofErr w:type="spellEnd"/>
      <w:r w:rsidRPr="00E61652">
        <w:rPr>
          <w:rFonts w:ascii="Times New Roman" w:hAnsi="Times New Roman"/>
          <w:sz w:val="24"/>
          <w:szCs w:val="24"/>
          <w:lang w:val="en-GB"/>
        </w:rPr>
        <w:t xml:space="preserve"> </w:t>
      </w:r>
      <w:proofErr w:type="spellStart"/>
      <w:r w:rsidRPr="00E61652">
        <w:rPr>
          <w:rFonts w:ascii="Times New Roman" w:hAnsi="Times New Roman"/>
          <w:sz w:val="24"/>
          <w:szCs w:val="24"/>
          <w:lang w:val="en-GB"/>
        </w:rPr>
        <w:t>terakhir</w:t>
      </w:r>
      <w:proofErr w:type="spellEnd"/>
      <w:r w:rsidRPr="00E61652">
        <w:rPr>
          <w:rFonts w:ascii="Times New Roman" w:hAnsi="Times New Roman"/>
          <w:sz w:val="24"/>
          <w:szCs w:val="24"/>
          <w:lang w:val="en-GB"/>
        </w:rPr>
        <w:t xml:space="preserve"> </w:t>
      </w:r>
      <w:proofErr w:type="spellStart"/>
      <w:r w:rsidRPr="00E61652">
        <w:rPr>
          <w:rFonts w:ascii="Times New Roman" w:hAnsi="Times New Roman"/>
          <w:sz w:val="24"/>
          <w:szCs w:val="24"/>
          <w:lang w:val="en-GB"/>
        </w:rPr>
        <w:t>telah</w:t>
      </w:r>
      <w:proofErr w:type="spellEnd"/>
      <w:r w:rsidRPr="00E61652">
        <w:rPr>
          <w:rFonts w:ascii="Times New Roman" w:hAnsi="Times New Roman"/>
          <w:sz w:val="24"/>
          <w:szCs w:val="24"/>
          <w:lang w:val="en-GB"/>
        </w:rPr>
        <w:t xml:space="preserve"> </w:t>
      </w:r>
      <w:proofErr w:type="spellStart"/>
      <w:r w:rsidRPr="00E61652">
        <w:rPr>
          <w:rFonts w:ascii="Times New Roman" w:hAnsi="Times New Roman"/>
          <w:sz w:val="24"/>
          <w:szCs w:val="24"/>
          <w:lang w:val="en-GB"/>
        </w:rPr>
        <w:t>terjadi</w:t>
      </w:r>
      <w:proofErr w:type="spellEnd"/>
      <w:r w:rsidRPr="00E61652">
        <w:rPr>
          <w:rFonts w:ascii="Times New Roman" w:hAnsi="Times New Roman"/>
          <w:sz w:val="24"/>
          <w:szCs w:val="24"/>
          <w:lang w:val="en-GB"/>
        </w:rPr>
        <w:t xml:space="preserve"> </w:t>
      </w:r>
      <w:proofErr w:type="spellStart"/>
      <w:r w:rsidRPr="00E61652">
        <w:rPr>
          <w:rFonts w:ascii="Times New Roman" w:hAnsi="Times New Roman"/>
          <w:sz w:val="24"/>
          <w:szCs w:val="24"/>
          <w:lang w:val="en-GB"/>
        </w:rPr>
        <w:t>peningkatan</w:t>
      </w:r>
      <w:proofErr w:type="spellEnd"/>
      <w:r w:rsidRPr="00E61652">
        <w:rPr>
          <w:rFonts w:ascii="Times New Roman" w:hAnsi="Times New Roman"/>
          <w:sz w:val="24"/>
          <w:szCs w:val="24"/>
          <w:lang w:val="en-GB"/>
        </w:rPr>
        <w:t xml:space="preserve"> </w:t>
      </w:r>
      <w:proofErr w:type="spellStart"/>
      <w:r w:rsidRPr="00E61652">
        <w:rPr>
          <w:rFonts w:ascii="Times New Roman" w:hAnsi="Times New Roman"/>
          <w:sz w:val="24"/>
          <w:szCs w:val="24"/>
          <w:lang w:val="en-GB"/>
        </w:rPr>
        <w:t>kejadian</w:t>
      </w:r>
      <w:proofErr w:type="spellEnd"/>
      <w:r w:rsidRPr="00E61652">
        <w:rPr>
          <w:rFonts w:ascii="Times New Roman" w:hAnsi="Times New Roman"/>
          <w:sz w:val="24"/>
          <w:szCs w:val="24"/>
          <w:lang w:val="en-GB"/>
        </w:rPr>
        <w:t xml:space="preserve"> </w:t>
      </w:r>
      <w:proofErr w:type="spellStart"/>
      <w:r w:rsidRPr="00E61652">
        <w:rPr>
          <w:rFonts w:ascii="Times New Roman" w:hAnsi="Times New Roman"/>
          <w:sz w:val="24"/>
          <w:szCs w:val="24"/>
          <w:lang w:val="en-GB"/>
        </w:rPr>
        <w:t>hiperurisemia</w:t>
      </w:r>
      <w:proofErr w:type="spellEnd"/>
      <w:r w:rsidR="00086AB9" w:rsidRPr="00E61652">
        <w:rPr>
          <w:rFonts w:ascii="Times New Roman" w:hAnsi="Times New Roman"/>
          <w:sz w:val="24"/>
          <w:szCs w:val="24"/>
          <w:lang w:val="en-GB"/>
        </w:rPr>
        <w:t xml:space="preserve"> </w:t>
      </w:r>
      <w:proofErr w:type="spellStart"/>
      <w:r w:rsidR="00086AB9" w:rsidRPr="00E61652">
        <w:rPr>
          <w:rFonts w:ascii="Times New Roman" w:hAnsi="Times New Roman"/>
          <w:sz w:val="24"/>
          <w:szCs w:val="24"/>
          <w:lang w:val="en-GB"/>
        </w:rPr>
        <w:t>dan</w:t>
      </w:r>
      <w:proofErr w:type="spellEnd"/>
      <w:r w:rsidR="00086AB9" w:rsidRPr="00E61652">
        <w:rPr>
          <w:rFonts w:ascii="Times New Roman" w:hAnsi="Times New Roman"/>
          <w:sz w:val="24"/>
          <w:szCs w:val="24"/>
          <w:lang w:val="en-GB"/>
        </w:rPr>
        <w:t xml:space="preserve"> </w:t>
      </w:r>
      <w:proofErr w:type="spellStart"/>
      <w:r w:rsidR="00086AB9" w:rsidRPr="00E61652">
        <w:rPr>
          <w:rFonts w:ascii="Times New Roman" w:hAnsi="Times New Roman"/>
          <w:sz w:val="24"/>
          <w:szCs w:val="24"/>
          <w:lang w:val="en-GB"/>
        </w:rPr>
        <w:t>hal</w:t>
      </w:r>
      <w:proofErr w:type="spellEnd"/>
      <w:r w:rsidR="00086AB9" w:rsidRPr="00E61652">
        <w:rPr>
          <w:rFonts w:ascii="Times New Roman" w:hAnsi="Times New Roman"/>
          <w:sz w:val="24"/>
          <w:szCs w:val="24"/>
          <w:lang w:val="en-GB"/>
        </w:rPr>
        <w:t xml:space="preserve"> </w:t>
      </w:r>
      <w:proofErr w:type="spellStart"/>
      <w:r w:rsidR="00FE2249" w:rsidRPr="00E61652">
        <w:rPr>
          <w:rFonts w:ascii="Times New Roman" w:hAnsi="Times New Roman"/>
          <w:sz w:val="24"/>
          <w:szCs w:val="24"/>
          <w:lang w:val="en-GB"/>
        </w:rPr>
        <w:t>terakhir</w:t>
      </w:r>
      <w:proofErr w:type="spellEnd"/>
      <w:r w:rsidR="00FE2249" w:rsidRPr="00E61652">
        <w:rPr>
          <w:rFonts w:ascii="Times New Roman" w:hAnsi="Times New Roman"/>
          <w:sz w:val="24"/>
          <w:szCs w:val="24"/>
          <w:lang w:val="en-GB"/>
        </w:rPr>
        <w:t xml:space="preserve"> </w:t>
      </w:r>
      <w:proofErr w:type="spellStart"/>
      <w:r w:rsidR="00086AB9" w:rsidRPr="00E61652">
        <w:rPr>
          <w:rFonts w:ascii="Times New Roman" w:hAnsi="Times New Roman"/>
          <w:sz w:val="24"/>
          <w:szCs w:val="24"/>
          <w:lang w:val="en-GB"/>
        </w:rPr>
        <w:t>ini</w:t>
      </w:r>
      <w:proofErr w:type="spellEnd"/>
      <w:r w:rsidR="00086AB9" w:rsidRPr="00E61652">
        <w:rPr>
          <w:rFonts w:ascii="Times New Roman" w:hAnsi="Times New Roman"/>
          <w:sz w:val="24"/>
          <w:szCs w:val="24"/>
          <w:lang w:val="en-GB"/>
        </w:rPr>
        <w:t xml:space="preserve"> </w:t>
      </w:r>
      <w:proofErr w:type="spellStart"/>
      <w:r w:rsidR="00FE2249" w:rsidRPr="00E61652">
        <w:rPr>
          <w:rFonts w:ascii="Times New Roman" w:hAnsi="Times New Roman"/>
          <w:sz w:val="24"/>
          <w:szCs w:val="24"/>
          <w:lang w:val="en-GB"/>
        </w:rPr>
        <w:t>telah</w:t>
      </w:r>
      <w:proofErr w:type="spellEnd"/>
      <w:r w:rsidR="00FE2249" w:rsidRPr="00E61652">
        <w:rPr>
          <w:rFonts w:ascii="Times New Roman" w:hAnsi="Times New Roman"/>
          <w:sz w:val="24"/>
          <w:szCs w:val="24"/>
          <w:lang w:val="en-GB"/>
        </w:rPr>
        <w:t xml:space="preserve"> </w:t>
      </w:r>
      <w:proofErr w:type="spellStart"/>
      <w:r w:rsidR="00086AB9" w:rsidRPr="00E61652">
        <w:rPr>
          <w:rFonts w:ascii="Times New Roman" w:hAnsi="Times New Roman"/>
          <w:sz w:val="24"/>
          <w:szCs w:val="24"/>
          <w:lang w:val="en-GB"/>
        </w:rPr>
        <w:t>menarik</w:t>
      </w:r>
      <w:proofErr w:type="spellEnd"/>
      <w:r w:rsidR="00086AB9" w:rsidRPr="00E61652">
        <w:rPr>
          <w:rFonts w:ascii="Times New Roman" w:hAnsi="Times New Roman"/>
          <w:sz w:val="24"/>
          <w:szCs w:val="24"/>
          <w:lang w:val="en-GB"/>
        </w:rPr>
        <w:t xml:space="preserve"> </w:t>
      </w:r>
      <w:proofErr w:type="spellStart"/>
      <w:r w:rsidR="00086AB9" w:rsidRPr="00E61652">
        <w:rPr>
          <w:rFonts w:ascii="Times New Roman" w:hAnsi="Times New Roman"/>
          <w:sz w:val="24"/>
          <w:szCs w:val="24"/>
          <w:lang w:val="en-GB"/>
        </w:rPr>
        <w:t>perhatian</w:t>
      </w:r>
      <w:proofErr w:type="spellEnd"/>
      <w:r w:rsidR="00086AB9" w:rsidRPr="00E61652">
        <w:rPr>
          <w:rFonts w:ascii="Times New Roman" w:hAnsi="Times New Roman"/>
          <w:sz w:val="24"/>
          <w:szCs w:val="24"/>
          <w:lang w:val="en-GB"/>
        </w:rPr>
        <w:t xml:space="preserve"> </w:t>
      </w:r>
      <w:proofErr w:type="spellStart"/>
      <w:r w:rsidR="00086AB9" w:rsidRPr="00E61652">
        <w:rPr>
          <w:rFonts w:ascii="Times New Roman" w:hAnsi="Times New Roman"/>
          <w:sz w:val="24"/>
          <w:szCs w:val="24"/>
          <w:lang w:val="en-GB"/>
        </w:rPr>
        <w:t>karena</w:t>
      </w:r>
      <w:proofErr w:type="spellEnd"/>
      <w:r w:rsidR="00086AB9" w:rsidRPr="00E61652">
        <w:rPr>
          <w:rFonts w:ascii="Times New Roman" w:hAnsi="Times New Roman"/>
          <w:sz w:val="24"/>
          <w:szCs w:val="24"/>
          <w:lang w:val="en-GB"/>
        </w:rPr>
        <w:t xml:space="preserve"> </w:t>
      </w:r>
      <w:proofErr w:type="spellStart"/>
      <w:r w:rsidR="00086AB9" w:rsidRPr="00E61652">
        <w:rPr>
          <w:rFonts w:ascii="Times New Roman" w:hAnsi="Times New Roman"/>
          <w:sz w:val="24"/>
          <w:szCs w:val="24"/>
          <w:lang w:val="en-GB"/>
        </w:rPr>
        <w:t>berkaitan</w:t>
      </w:r>
      <w:proofErr w:type="spellEnd"/>
      <w:r w:rsidR="00086AB9" w:rsidRPr="00E61652">
        <w:rPr>
          <w:rFonts w:ascii="Times New Roman" w:hAnsi="Times New Roman"/>
          <w:sz w:val="24"/>
          <w:szCs w:val="24"/>
          <w:lang w:val="en-GB"/>
        </w:rPr>
        <w:t xml:space="preserve"> </w:t>
      </w:r>
      <w:proofErr w:type="spellStart"/>
      <w:r w:rsidR="00086AB9" w:rsidRPr="00E61652">
        <w:rPr>
          <w:rFonts w:ascii="Times New Roman" w:hAnsi="Times New Roman"/>
          <w:sz w:val="24"/>
          <w:szCs w:val="24"/>
          <w:lang w:val="en-GB"/>
        </w:rPr>
        <w:t>dengan</w:t>
      </w:r>
      <w:proofErr w:type="spellEnd"/>
      <w:r w:rsidR="00086AB9" w:rsidRPr="00E61652">
        <w:rPr>
          <w:rFonts w:ascii="Times New Roman" w:hAnsi="Times New Roman"/>
          <w:sz w:val="24"/>
          <w:szCs w:val="24"/>
          <w:lang w:val="en-GB"/>
        </w:rPr>
        <w:t xml:space="preserve"> </w:t>
      </w:r>
      <w:proofErr w:type="spellStart"/>
      <w:r w:rsidR="00086AB9" w:rsidRPr="00E61652">
        <w:rPr>
          <w:rFonts w:ascii="Times New Roman" w:hAnsi="Times New Roman"/>
          <w:sz w:val="24"/>
          <w:szCs w:val="24"/>
          <w:lang w:val="en-GB"/>
        </w:rPr>
        <w:t>penyakit</w:t>
      </w:r>
      <w:proofErr w:type="spellEnd"/>
      <w:r w:rsidR="00086AB9" w:rsidRPr="00E61652">
        <w:rPr>
          <w:rFonts w:ascii="Times New Roman" w:hAnsi="Times New Roman"/>
          <w:sz w:val="24"/>
          <w:szCs w:val="24"/>
          <w:lang w:val="en-GB"/>
        </w:rPr>
        <w:t xml:space="preserve"> yang </w:t>
      </w:r>
      <w:proofErr w:type="spellStart"/>
      <w:r w:rsidR="00086AB9" w:rsidRPr="00E61652">
        <w:rPr>
          <w:rFonts w:ascii="Times New Roman" w:hAnsi="Times New Roman"/>
          <w:sz w:val="24"/>
          <w:szCs w:val="24"/>
          <w:lang w:val="en-GB"/>
        </w:rPr>
        <w:t>berhubungan</w:t>
      </w:r>
      <w:proofErr w:type="spellEnd"/>
      <w:r w:rsidR="00086AB9" w:rsidRPr="00E61652">
        <w:rPr>
          <w:rFonts w:ascii="Times New Roman" w:hAnsi="Times New Roman"/>
          <w:sz w:val="24"/>
          <w:szCs w:val="24"/>
          <w:lang w:val="en-GB"/>
        </w:rPr>
        <w:t xml:space="preserve"> </w:t>
      </w:r>
      <w:proofErr w:type="spellStart"/>
      <w:r w:rsidR="00086AB9" w:rsidRPr="00E61652">
        <w:rPr>
          <w:rFonts w:ascii="Times New Roman" w:hAnsi="Times New Roman"/>
          <w:sz w:val="24"/>
          <w:szCs w:val="24"/>
          <w:lang w:val="en-GB"/>
        </w:rPr>
        <w:t>dengan</w:t>
      </w:r>
      <w:proofErr w:type="spellEnd"/>
      <w:r w:rsidR="00086AB9" w:rsidRPr="00E61652">
        <w:rPr>
          <w:rFonts w:ascii="Times New Roman" w:hAnsi="Times New Roman"/>
          <w:sz w:val="24"/>
          <w:szCs w:val="24"/>
          <w:lang w:val="en-GB"/>
        </w:rPr>
        <w:t xml:space="preserve"> </w:t>
      </w:r>
      <w:proofErr w:type="spellStart"/>
      <w:proofErr w:type="gramStart"/>
      <w:r w:rsidR="00086AB9" w:rsidRPr="00E61652">
        <w:rPr>
          <w:rFonts w:ascii="Times New Roman" w:hAnsi="Times New Roman"/>
          <w:sz w:val="24"/>
          <w:szCs w:val="24"/>
          <w:lang w:val="en-GB"/>
        </w:rPr>
        <w:t>gaya</w:t>
      </w:r>
      <w:proofErr w:type="spellEnd"/>
      <w:proofErr w:type="gramEnd"/>
      <w:r w:rsidR="00086AB9" w:rsidRPr="00E61652">
        <w:rPr>
          <w:rFonts w:ascii="Times New Roman" w:hAnsi="Times New Roman"/>
          <w:sz w:val="24"/>
          <w:szCs w:val="24"/>
          <w:lang w:val="en-GB"/>
        </w:rPr>
        <w:t xml:space="preserve"> </w:t>
      </w:r>
      <w:proofErr w:type="spellStart"/>
      <w:r w:rsidR="00086AB9" w:rsidRPr="00E61652">
        <w:rPr>
          <w:rFonts w:ascii="Times New Roman" w:hAnsi="Times New Roman"/>
          <w:sz w:val="24"/>
          <w:szCs w:val="24"/>
          <w:lang w:val="en-GB"/>
        </w:rPr>
        <w:t>hidup</w:t>
      </w:r>
      <w:proofErr w:type="spellEnd"/>
      <w:r w:rsidR="00086AB9" w:rsidRPr="00E61652">
        <w:rPr>
          <w:rFonts w:ascii="Times New Roman" w:hAnsi="Times New Roman"/>
          <w:sz w:val="24"/>
          <w:szCs w:val="24"/>
          <w:lang w:val="en-GB"/>
        </w:rPr>
        <w:t xml:space="preserve"> </w:t>
      </w:r>
      <w:proofErr w:type="spellStart"/>
      <w:r w:rsidR="00086AB9" w:rsidRPr="00E61652">
        <w:rPr>
          <w:rFonts w:ascii="Times New Roman" w:hAnsi="Times New Roman"/>
          <w:sz w:val="24"/>
          <w:szCs w:val="24"/>
          <w:lang w:val="en-GB"/>
        </w:rPr>
        <w:t>orang</w:t>
      </w:r>
      <w:proofErr w:type="spellEnd"/>
      <w:r w:rsidR="00086AB9" w:rsidRPr="00E61652">
        <w:rPr>
          <w:rFonts w:ascii="Times New Roman" w:hAnsi="Times New Roman"/>
          <w:sz w:val="24"/>
          <w:szCs w:val="24"/>
          <w:lang w:val="en-GB"/>
        </w:rPr>
        <w:t xml:space="preserve"> </w:t>
      </w:r>
      <w:proofErr w:type="spellStart"/>
      <w:r w:rsidR="00086AB9" w:rsidRPr="00E61652">
        <w:rPr>
          <w:rFonts w:ascii="Times New Roman" w:hAnsi="Times New Roman"/>
          <w:sz w:val="24"/>
          <w:szCs w:val="24"/>
          <w:lang w:val="en-GB"/>
        </w:rPr>
        <w:t>dewasa</w:t>
      </w:r>
      <w:proofErr w:type="spellEnd"/>
      <w:r w:rsidR="00663874" w:rsidRPr="00E61652">
        <w:rPr>
          <w:rFonts w:ascii="Times New Roman" w:hAnsi="Times New Roman"/>
          <w:sz w:val="24"/>
          <w:szCs w:val="24"/>
          <w:lang w:val="en-GB"/>
        </w:rPr>
        <w:t xml:space="preserve">, </w:t>
      </w:r>
      <w:proofErr w:type="spellStart"/>
      <w:r w:rsidR="00663874" w:rsidRPr="00E61652">
        <w:rPr>
          <w:rFonts w:ascii="Times New Roman" w:hAnsi="Times New Roman"/>
          <w:sz w:val="24"/>
          <w:szCs w:val="24"/>
          <w:lang w:val="en-GB"/>
        </w:rPr>
        <w:t>bersama</w:t>
      </w:r>
      <w:proofErr w:type="spellEnd"/>
      <w:r w:rsidR="00663874" w:rsidRPr="00E61652">
        <w:rPr>
          <w:rFonts w:ascii="Times New Roman" w:hAnsi="Times New Roman"/>
          <w:sz w:val="24"/>
          <w:szCs w:val="24"/>
          <w:lang w:val="en-GB"/>
        </w:rPr>
        <w:t xml:space="preserve"> </w:t>
      </w:r>
      <w:proofErr w:type="spellStart"/>
      <w:r w:rsidR="00663874" w:rsidRPr="00E61652">
        <w:rPr>
          <w:rFonts w:ascii="Times New Roman" w:hAnsi="Times New Roman"/>
          <w:sz w:val="24"/>
          <w:szCs w:val="24"/>
          <w:lang w:val="en-GB"/>
        </w:rPr>
        <w:t>dengan</w:t>
      </w:r>
      <w:proofErr w:type="spellEnd"/>
      <w:r w:rsidR="00663874" w:rsidRPr="00E61652">
        <w:rPr>
          <w:rFonts w:ascii="Times New Roman" w:hAnsi="Times New Roman"/>
          <w:sz w:val="24"/>
          <w:szCs w:val="24"/>
          <w:lang w:val="en-GB"/>
        </w:rPr>
        <w:t xml:space="preserve"> </w:t>
      </w:r>
      <w:proofErr w:type="spellStart"/>
      <w:r w:rsidR="00663874" w:rsidRPr="00E61652">
        <w:rPr>
          <w:rFonts w:ascii="Times New Roman" w:hAnsi="Times New Roman"/>
          <w:sz w:val="24"/>
          <w:szCs w:val="24"/>
          <w:lang w:val="en-GB"/>
        </w:rPr>
        <w:t>hipertensi</w:t>
      </w:r>
      <w:proofErr w:type="spellEnd"/>
      <w:r w:rsidR="00663874" w:rsidRPr="00E61652">
        <w:rPr>
          <w:rFonts w:ascii="Times New Roman" w:hAnsi="Times New Roman"/>
          <w:sz w:val="24"/>
          <w:szCs w:val="24"/>
          <w:lang w:val="en-GB"/>
        </w:rPr>
        <w:t xml:space="preserve">, diabetes </w:t>
      </w:r>
      <w:proofErr w:type="spellStart"/>
      <w:r w:rsidR="00663874" w:rsidRPr="00E61652">
        <w:rPr>
          <w:rFonts w:ascii="Times New Roman" w:hAnsi="Times New Roman"/>
          <w:sz w:val="24"/>
          <w:szCs w:val="24"/>
          <w:lang w:val="en-GB"/>
        </w:rPr>
        <w:t>dan</w:t>
      </w:r>
      <w:proofErr w:type="spellEnd"/>
      <w:r w:rsidR="00663874" w:rsidRPr="00E61652">
        <w:rPr>
          <w:rFonts w:ascii="Times New Roman" w:hAnsi="Times New Roman"/>
          <w:sz w:val="24"/>
          <w:szCs w:val="24"/>
          <w:lang w:val="en-GB"/>
        </w:rPr>
        <w:t xml:space="preserve"> </w:t>
      </w:r>
      <w:proofErr w:type="spellStart"/>
      <w:r w:rsidR="00663874" w:rsidRPr="00E61652">
        <w:rPr>
          <w:rFonts w:ascii="Times New Roman" w:hAnsi="Times New Roman"/>
          <w:sz w:val="24"/>
          <w:szCs w:val="24"/>
          <w:lang w:val="en-GB"/>
        </w:rPr>
        <w:t>dislipidemia</w:t>
      </w:r>
      <w:proofErr w:type="spellEnd"/>
      <w:r w:rsidRPr="00E61652">
        <w:rPr>
          <w:rFonts w:ascii="Times New Roman" w:hAnsi="Times New Roman"/>
          <w:sz w:val="24"/>
          <w:szCs w:val="24"/>
          <w:lang w:val="en-GB"/>
        </w:rPr>
        <w:t xml:space="preserve">. </w:t>
      </w:r>
      <w:proofErr w:type="spellStart"/>
      <w:proofErr w:type="gramStart"/>
      <w:r w:rsidR="00663874" w:rsidRPr="00E61652">
        <w:rPr>
          <w:rFonts w:ascii="Times New Roman" w:hAnsi="Times New Roman"/>
          <w:sz w:val="24"/>
          <w:szCs w:val="24"/>
          <w:lang w:val="en-GB"/>
        </w:rPr>
        <w:t>Hasil</w:t>
      </w:r>
      <w:proofErr w:type="spellEnd"/>
      <w:r w:rsidR="00663874" w:rsidRPr="00E61652">
        <w:rPr>
          <w:rFonts w:ascii="Times New Roman" w:hAnsi="Times New Roman"/>
          <w:sz w:val="24"/>
          <w:szCs w:val="24"/>
          <w:lang w:val="en-GB"/>
        </w:rPr>
        <w:t xml:space="preserve"> </w:t>
      </w:r>
      <w:proofErr w:type="spellStart"/>
      <w:r w:rsidR="00663874" w:rsidRPr="00E61652">
        <w:rPr>
          <w:rFonts w:ascii="Times New Roman" w:hAnsi="Times New Roman"/>
          <w:sz w:val="24"/>
          <w:szCs w:val="24"/>
          <w:lang w:val="en-GB"/>
        </w:rPr>
        <w:t>penelitian</w:t>
      </w:r>
      <w:proofErr w:type="spellEnd"/>
      <w:r w:rsidR="00663874" w:rsidRPr="00E61652">
        <w:rPr>
          <w:rFonts w:ascii="Times New Roman" w:hAnsi="Times New Roman"/>
          <w:sz w:val="24"/>
          <w:szCs w:val="24"/>
          <w:lang w:val="en-GB"/>
        </w:rPr>
        <w:t xml:space="preserve"> </w:t>
      </w:r>
      <w:proofErr w:type="spellStart"/>
      <w:r w:rsidR="00663874" w:rsidRPr="00E61652">
        <w:rPr>
          <w:rFonts w:ascii="Times New Roman" w:hAnsi="Times New Roman"/>
          <w:sz w:val="24"/>
          <w:szCs w:val="24"/>
          <w:lang w:val="en-GB"/>
        </w:rPr>
        <w:t>terdahulu</w:t>
      </w:r>
      <w:proofErr w:type="spellEnd"/>
      <w:r w:rsidR="00663874" w:rsidRPr="00E61652">
        <w:rPr>
          <w:rFonts w:ascii="Times New Roman" w:hAnsi="Times New Roman"/>
          <w:sz w:val="24"/>
          <w:szCs w:val="24"/>
          <w:lang w:val="en-GB"/>
        </w:rPr>
        <w:t xml:space="preserve"> </w:t>
      </w:r>
      <w:proofErr w:type="spellStart"/>
      <w:r w:rsidR="00663874" w:rsidRPr="00E61652">
        <w:rPr>
          <w:rFonts w:ascii="Times New Roman" w:hAnsi="Times New Roman"/>
          <w:sz w:val="24"/>
          <w:szCs w:val="24"/>
          <w:lang w:val="en-GB"/>
        </w:rPr>
        <w:t>menunjukkan</w:t>
      </w:r>
      <w:proofErr w:type="spellEnd"/>
      <w:r w:rsidR="00663874" w:rsidRPr="00E61652">
        <w:rPr>
          <w:rFonts w:ascii="Times New Roman" w:hAnsi="Times New Roman"/>
          <w:sz w:val="24"/>
          <w:szCs w:val="24"/>
          <w:lang w:val="en-GB"/>
        </w:rPr>
        <w:t xml:space="preserve"> </w:t>
      </w:r>
      <w:proofErr w:type="spellStart"/>
      <w:r w:rsidR="00663874" w:rsidRPr="00E61652">
        <w:rPr>
          <w:rFonts w:ascii="Times New Roman" w:hAnsi="Times New Roman"/>
          <w:sz w:val="24"/>
          <w:szCs w:val="24"/>
          <w:lang w:val="en-GB"/>
        </w:rPr>
        <w:t>ada</w:t>
      </w:r>
      <w:proofErr w:type="spellEnd"/>
      <w:r w:rsidR="00663874" w:rsidRPr="00E61652">
        <w:rPr>
          <w:rFonts w:ascii="Times New Roman" w:hAnsi="Times New Roman"/>
          <w:sz w:val="24"/>
          <w:szCs w:val="24"/>
          <w:lang w:val="en-GB"/>
        </w:rPr>
        <w:t xml:space="preserve"> </w:t>
      </w:r>
      <w:proofErr w:type="spellStart"/>
      <w:r w:rsidR="00663874" w:rsidRPr="00E61652">
        <w:rPr>
          <w:rFonts w:ascii="Times New Roman" w:hAnsi="Times New Roman"/>
          <w:sz w:val="24"/>
          <w:szCs w:val="24"/>
          <w:lang w:val="en-GB"/>
        </w:rPr>
        <w:t>hubungan</w:t>
      </w:r>
      <w:proofErr w:type="spellEnd"/>
      <w:r w:rsidR="00663874" w:rsidRPr="00E61652">
        <w:rPr>
          <w:rFonts w:ascii="Times New Roman" w:hAnsi="Times New Roman"/>
          <w:sz w:val="24"/>
          <w:szCs w:val="24"/>
          <w:lang w:val="en-GB"/>
        </w:rPr>
        <w:t xml:space="preserve"> </w:t>
      </w:r>
      <w:proofErr w:type="spellStart"/>
      <w:r w:rsidR="00663874" w:rsidRPr="00E61652">
        <w:rPr>
          <w:rFonts w:ascii="Times New Roman" w:hAnsi="Times New Roman"/>
          <w:sz w:val="24"/>
          <w:szCs w:val="24"/>
          <w:lang w:val="en-GB"/>
        </w:rPr>
        <w:t>antara</w:t>
      </w:r>
      <w:proofErr w:type="spellEnd"/>
      <w:r w:rsidR="00663874" w:rsidRPr="00E61652">
        <w:rPr>
          <w:rFonts w:ascii="Times New Roman" w:hAnsi="Times New Roman"/>
          <w:sz w:val="24"/>
          <w:szCs w:val="24"/>
          <w:lang w:val="en-GB"/>
        </w:rPr>
        <w:t xml:space="preserve"> </w:t>
      </w:r>
      <w:proofErr w:type="spellStart"/>
      <w:r w:rsidR="005A1F1A" w:rsidRPr="00E61652">
        <w:rPr>
          <w:rFonts w:ascii="Times New Roman" w:hAnsi="Times New Roman"/>
          <w:sz w:val="24"/>
          <w:szCs w:val="24"/>
          <w:lang w:val="en-GB"/>
        </w:rPr>
        <w:t>resistensi</w:t>
      </w:r>
      <w:proofErr w:type="spellEnd"/>
      <w:r w:rsidR="005A1F1A" w:rsidRPr="00E61652">
        <w:rPr>
          <w:rFonts w:ascii="Times New Roman" w:hAnsi="Times New Roman"/>
          <w:sz w:val="24"/>
          <w:szCs w:val="24"/>
          <w:lang w:val="en-GB"/>
        </w:rPr>
        <w:t xml:space="preserve"> insulin </w:t>
      </w:r>
      <w:proofErr w:type="spellStart"/>
      <w:r w:rsidR="005A1F1A" w:rsidRPr="00E61652">
        <w:rPr>
          <w:rFonts w:ascii="Times New Roman" w:hAnsi="Times New Roman"/>
          <w:sz w:val="24"/>
          <w:szCs w:val="24"/>
          <w:lang w:val="en-GB"/>
        </w:rPr>
        <w:t>dan</w:t>
      </w:r>
      <w:proofErr w:type="spellEnd"/>
      <w:r w:rsidR="005A1F1A" w:rsidRPr="00E61652">
        <w:rPr>
          <w:rFonts w:ascii="Times New Roman" w:hAnsi="Times New Roman"/>
          <w:sz w:val="24"/>
          <w:szCs w:val="24"/>
          <w:lang w:val="en-GB"/>
        </w:rPr>
        <w:t xml:space="preserve"> </w:t>
      </w:r>
      <w:proofErr w:type="spellStart"/>
      <w:r w:rsidR="005A1F1A" w:rsidRPr="00E61652">
        <w:rPr>
          <w:rFonts w:ascii="Times New Roman" w:hAnsi="Times New Roman"/>
          <w:sz w:val="24"/>
          <w:szCs w:val="24"/>
          <w:lang w:val="en-GB"/>
        </w:rPr>
        <w:t>hiperurisemia</w:t>
      </w:r>
      <w:proofErr w:type="spellEnd"/>
      <w:r w:rsidR="005A1F1A" w:rsidRPr="00E61652">
        <w:rPr>
          <w:rFonts w:ascii="Times New Roman" w:hAnsi="Times New Roman"/>
          <w:sz w:val="24"/>
          <w:szCs w:val="24"/>
          <w:lang w:val="en-GB"/>
        </w:rPr>
        <w:t xml:space="preserve"> </w:t>
      </w:r>
      <w:proofErr w:type="spellStart"/>
      <w:r w:rsidR="005A1F1A" w:rsidRPr="00E61652">
        <w:rPr>
          <w:rFonts w:ascii="Times New Roman" w:hAnsi="Times New Roman"/>
          <w:sz w:val="24"/>
          <w:szCs w:val="24"/>
          <w:lang w:val="en-GB"/>
        </w:rPr>
        <w:t>dengan</w:t>
      </w:r>
      <w:proofErr w:type="spellEnd"/>
      <w:r w:rsidR="005A1F1A" w:rsidRPr="00E61652">
        <w:rPr>
          <w:rFonts w:ascii="Times New Roman" w:hAnsi="Times New Roman"/>
          <w:sz w:val="24"/>
          <w:szCs w:val="24"/>
          <w:lang w:val="en-GB"/>
        </w:rPr>
        <w:t xml:space="preserve"> </w:t>
      </w:r>
      <w:proofErr w:type="spellStart"/>
      <w:r w:rsidR="005A1F1A" w:rsidRPr="00E61652">
        <w:rPr>
          <w:rFonts w:ascii="Times New Roman" w:hAnsi="Times New Roman"/>
          <w:sz w:val="24"/>
          <w:szCs w:val="24"/>
          <w:lang w:val="en-GB"/>
        </w:rPr>
        <w:t>metabolik</w:t>
      </w:r>
      <w:proofErr w:type="spellEnd"/>
      <w:r w:rsidR="005A1F1A" w:rsidRPr="00E61652">
        <w:rPr>
          <w:rFonts w:ascii="Times New Roman" w:hAnsi="Times New Roman"/>
          <w:sz w:val="24"/>
          <w:szCs w:val="24"/>
          <w:lang w:val="en-GB"/>
        </w:rPr>
        <w:t xml:space="preserve"> </w:t>
      </w:r>
      <w:proofErr w:type="spellStart"/>
      <w:r w:rsidR="005A1F1A" w:rsidRPr="00E61652">
        <w:rPr>
          <w:rFonts w:ascii="Times New Roman" w:hAnsi="Times New Roman"/>
          <w:sz w:val="24"/>
          <w:szCs w:val="24"/>
          <w:lang w:val="en-GB"/>
        </w:rPr>
        <w:t>sindrom</w:t>
      </w:r>
      <w:proofErr w:type="spellEnd"/>
      <w:r w:rsidR="005A1F1A" w:rsidRPr="00E61652">
        <w:rPr>
          <w:rFonts w:ascii="Times New Roman" w:hAnsi="Times New Roman"/>
          <w:sz w:val="24"/>
          <w:szCs w:val="24"/>
          <w:lang w:val="en-GB"/>
        </w:rPr>
        <w:t>.</w:t>
      </w:r>
      <w:r w:rsidR="00C41941" w:rsidRPr="00E61652">
        <w:rPr>
          <w:rFonts w:ascii="Times New Roman" w:hAnsi="Times New Roman"/>
          <w:sz w:val="24"/>
          <w:szCs w:val="24"/>
          <w:lang w:val="id-ID"/>
        </w:rPr>
        <w:t xml:space="preserve">Belum ada data yang pasti mengenai </w:t>
      </w:r>
      <w:proofErr w:type="spellStart"/>
      <w:r w:rsidR="00C41941" w:rsidRPr="00E61652">
        <w:rPr>
          <w:rFonts w:ascii="Times New Roman" w:hAnsi="Times New Roman"/>
          <w:sz w:val="24"/>
          <w:szCs w:val="24"/>
        </w:rPr>
        <w:t>besarnya</w:t>
      </w:r>
      <w:proofErr w:type="spellEnd"/>
      <w:r w:rsidR="00C41941" w:rsidRPr="00E61652">
        <w:rPr>
          <w:rFonts w:ascii="Times New Roman" w:hAnsi="Times New Roman"/>
          <w:sz w:val="24"/>
          <w:szCs w:val="24"/>
        </w:rPr>
        <w:t xml:space="preserve"> </w:t>
      </w:r>
      <w:proofErr w:type="spellStart"/>
      <w:r w:rsidR="00C41941" w:rsidRPr="00E61652">
        <w:rPr>
          <w:rFonts w:ascii="Times New Roman" w:hAnsi="Times New Roman"/>
          <w:sz w:val="24"/>
          <w:szCs w:val="24"/>
        </w:rPr>
        <w:t>angka</w:t>
      </w:r>
      <w:proofErr w:type="spellEnd"/>
      <w:r w:rsidR="00C41941" w:rsidRPr="00E61652">
        <w:rPr>
          <w:rFonts w:ascii="Times New Roman" w:hAnsi="Times New Roman"/>
          <w:sz w:val="24"/>
          <w:szCs w:val="24"/>
        </w:rPr>
        <w:t xml:space="preserve"> </w:t>
      </w:r>
      <w:proofErr w:type="spellStart"/>
      <w:r w:rsidR="00C41941" w:rsidRPr="00E61652">
        <w:rPr>
          <w:rFonts w:ascii="Times New Roman" w:hAnsi="Times New Roman"/>
          <w:sz w:val="24"/>
          <w:szCs w:val="24"/>
        </w:rPr>
        <w:t>kejadian</w:t>
      </w:r>
      <w:proofErr w:type="spellEnd"/>
      <w:r w:rsidR="00C41941" w:rsidRPr="00E61652">
        <w:rPr>
          <w:rFonts w:ascii="Times New Roman" w:hAnsi="Times New Roman"/>
          <w:sz w:val="24"/>
          <w:szCs w:val="24"/>
        </w:rPr>
        <w:t xml:space="preserve"> </w:t>
      </w:r>
      <w:proofErr w:type="spellStart"/>
      <w:r w:rsidR="00C41941" w:rsidRPr="00E61652">
        <w:rPr>
          <w:rFonts w:ascii="Times New Roman" w:hAnsi="Times New Roman"/>
          <w:sz w:val="24"/>
          <w:szCs w:val="24"/>
        </w:rPr>
        <w:t>hiperurisemia</w:t>
      </w:r>
      <w:proofErr w:type="spellEnd"/>
      <w:r w:rsidR="00C41941" w:rsidRPr="00E61652">
        <w:rPr>
          <w:rFonts w:ascii="Times New Roman" w:hAnsi="Times New Roman"/>
          <w:sz w:val="24"/>
          <w:szCs w:val="24"/>
        </w:rPr>
        <w:t xml:space="preserve"> </w:t>
      </w:r>
      <w:proofErr w:type="spellStart"/>
      <w:r w:rsidR="00C41941" w:rsidRPr="00E61652">
        <w:rPr>
          <w:rFonts w:ascii="Times New Roman" w:hAnsi="Times New Roman"/>
          <w:sz w:val="24"/>
          <w:szCs w:val="24"/>
        </w:rPr>
        <w:t>pada</w:t>
      </w:r>
      <w:proofErr w:type="spellEnd"/>
      <w:r w:rsidR="00C41941" w:rsidRPr="00E61652">
        <w:rPr>
          <w:rFonts w:ascii="Times New Roman" w:hAnsi="Times New Roman"/>
          <w:sz w:val="24"/>
          <w:szCs w:val="24"/>
        </w:rPr>
        <w:t xml:space="preserve"> </w:t>
      </w:r>
      <w:proofErr w:type="spellStart"/>
      <w:r w:rsidR="00C41941" w:rsidRPr="00E61652">
        <w:rPr>
          <w:rFonts w:ascii="Times New Roman" w:hAnsi="Times New Roman"/>
          <w:sz w:val="24"/>
          <w:szCs w:val="24"/>
        </w:rPr>
        <w:t>masyarakat</w:t>
      </w:r>
      <w:proofErr w:type="spellEnd"/>
      <w:r w:rsidR="00C41941" w:rsidRPr="00E61652">
        <w:rPr>
          <w:rFonts w:ascii="Times New Roman" w:hAnsi="Times New Roman"/>
          <w:sz w:val="24"/>
          <w:szCs w:val="24"/>
        </w:rPr>
        <w:t xml:space="preserve"> Indonesia</w:t>
      </w:r>
      <w:r w:rsidR="00C41941" w:rsidRPr="00E61652">
        <w:rPr>
          <w:rFonts w:ascii="Times New Roman" w:hAnsi="Times New Roman"/>
          <w:sz w:val="24"/>
          <w:szCs w:val="24"/>
          <w:lang w:val="id-ID"/>
        </w:rPr>
        <w:t>.</w:t>
      </w:r>
      <w:proofErr w:type="gramEnd"/>
      <w:r w:rsidR="00C41941" w:rsidRPr="00E61652">
        <w:rPr>
          <w:rFonts w:ascii="Times New Roman" w:hAnsi="Times New Roman"/>
          <w:sz w:val="24"/>
          <w:szCs w:val="24"/>
          <w:lang w:val="id-ID"/>
        </w:rPr>
        <w:t xml:space="preserve"> Penelitian</w:t>
      </w:r>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potong</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lintang</w:t>
      </w:r>
      <w:proofErr w:type="spellEnd"/>
      <w:r w:rsidR="00C41941" w:rsidRPr="00E61652">
        <w:rPr>
          <w:rFonts w:ascii="Times New Roman" w:hAnsi="Times New Roman"/>
          <w:sz w:val="24"/>
          <w:szCs w:val="24"/>
          <w:lang w:val="id-ID"/>
        </w:rPr>
        <w:t xml:space="preserve"> ini bertujuan untuk mengetahui </w:t>
      </w:r>
      <w:proofErr w:type="spellStart"/>
      <w:r w:rsidR="00C41941" w:rsidRPr="00E61652">
        <w:rPr>
          <w:rFonts w:ascii="Times New Roman" w:hAnsi="Times New Roman"/>
          <w:sz w:val="24"/>
          <w:szCs w:val="24"/>
          <w:lang w:val="en-GB"/>
        </w:rPr>
        <w:t>prevalensi</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hiperurisemia</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dan</w:t>
      </w:r>
      <w:proofErr w:type="spellEnd"/>
      <w:r w:rsidR="00C41941" w:rsidRPr="00E61652">
        <w:rPr>
          <w:rFonts w:ascii="Times New Roman" w:hAnsi="Times New Roman"/>
          <w:sz w:val="24"/>
          <w:szCs w:val="24"/>
          <w:lang w:val="en-GB"/>
        </w:rPr>
        <w:t xml:space="preserve"> </w:t>
      </w:r>
      <w:r w:rsidR="00C41941" w:rsidRPr="00E61652">
        <w:rPr>
          <w:rFonts w:ascii="Times New Roman" w:hAnsi="Times New Roman"/>
          <w:sz w:val="24"/>
          <w:szCs w:val="24"/>
          <w:lang w:val="id-ID"/>
        </w:rPr>
        <w:t>faktor-faktor yang mempengaruhi</w:t>
      </w:r>
      <w:proofErr w:type="spellStart"/>
      <w:r w:rsidR="00C41941" w:rsidRPr="00E61652">
        <w:rPr>
          <w:rFonts w:ascii="Times New Roman" w:hAnsi="Times New Roman"/>
          <w:sz w:val="24"/>
          <w:szCs w:val="24"/>
          <w:lang w:val="en-GB"/>
        </w:rPr>
        <w:t>nya</w:t>
      </w:r>
      <w:proofErr w:type="spellEnd"/>
      <w:r w:rsidR="00C41941" w:rsidRPr="00E61652">
        <w:rPr>
          <w:rFonts w:ascii="Times New Roman" w:hAnsi="Times New Roman"/>
          <w:sz w:val="24"/>
          <w:szCs w:val="24"/>
          <w:lang w:val="en-GB"/>
        </w:rPr>
        <w:t xml:space="preserve"> </w:t>
      </w:r>
      <w:r w:rsidR="00C41941" w:rsidRPr="00E61652">
        <w:rPr>
          <w:rFonts w:ascii="Times New Roman" w:hAnsi="Times New Roman"/>
          <w:sz w:val="24"/>
          <w:szCs w:val="24"/>
          <w:lang w:val="id-ID"/>
        </w:rPr>
        <w:t>di Kota Depok</w:t>
      </w:r>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Jawa</w:t>
      </w:r>
      <w:proofErr w:type="spellEnd"/>
      <w:r w:rsidR="00C41941" w:rsidRPr="00E61652">
        <w:rPr>
          <w:rFonts w:ascii="Times New Roman" w:hAnsi="Times New Roman"/>
          <w:sz w:val="24"/>
          <w:szCs w:val="24"/>
          <w:lang w:val="en-GB"/>
        </w:rPr>
        <w:t xml:space="preserve"> Barat. </w:t>
      </w:r>
      <w:proofErr w:type="spellStart"/>
      <w:proofErr w:type="gramStart"/>
      <w:r w:rsidR="007509EE" w:rsidRPr="00E61652">
        <w:rPr>
          <w:rFonts w:ascii="Times New Roman" w:hAnsi="Times New Roman"/>
          <w:sz w:val="24"/>
          <w:szCs w:val="24"/>
          <w:lang w:val="en-GB"/>
        </w:rPr>
        <w:t>Penelitian</w:t>
      </w:r>
      <w:proofErr w:type="spellEnd"/>
      <w:r w:rsidR="007509EE" w:rsidRPr="00E61652">
        <w:rPr>
          <w:rFonts w:ascii="Times New Roman" w:hAnsi="Times New Roman"/>
          <w:sz w:val="24"/>
          <w:szCs w:val="24"/>
          <w:lang w:val="en-GB"/>
        </w:rPr>
        <w:t xml:space="preserve"> </w:t>
      </w:r>
      <w:proofErr w:type="spellStart"/>
      <w:r w:rsidR="007509EE" w:rsidRPr="00E61652">
        <w:rPr>
          <w:rFonts w:ascii="Times New Roman" w:hAnsi="Times New Roman"/>
          <w:sz w:val="24"/>
          <w:szCs w:val="24"/>
          <w:lang w:val="en-GB"/>
        </w:rPr>
        <w:t>ini</w:t>
      </w:r>
      <w:proofErr w:type="spellEnd"/>
      <w:r w:rsidR="007509EE" w:rsidRPr="00E61652">
        <w:rPr>
          <w:rFonts w:ascii="Times New Roman" w:hAnsi="Times New Roman"/>
          <w:sz w:val="24"/>
          <w:szCs w:val="24"/>
          <w:lang w:val="en-GB"/>
        </w:rPr>
        <w:t xml:space="preserve"> </w:t>
      </w:r>
      <w:proofErr w:type="spellStart"/>
      <w:r w:rsidR="007509EE" w:rsidRPr="00E61652">
        <w:rPr>
          <w:rFonts w:ascii="Times New Roman" w:hAnsi="Times New Roman"/>
          <w:sz w:val="24"/>
          <w:szCs w:val="24"/>
          <w:lang w:val="en-GB"/>
        </w:rPr>
        <w:t>merupakan</w:t>
      </w:r>
      <w:proofErr w:type="spellEnd"/>
      <w:r w:rsidR="007509EE" w:rsidRPr="00E61652">
        <w:rPr>
          <w:rFonts w:ascii="Times New Roman" w:hAnsi="Times New Roman"/>
          <w:sz w:val="24"/>
          <w:szCs w:val="24"/>
          <w:lang w:val="en-GB"/>
        </w:rPr>
        <w:t xml:space="preserve"> </w:t>
      </w:r>
      <w:proofErr w:type="spellStart"/>
      <w:r w:rsidR="007509EE" w:rsidRPr="00E61652">
        <w:rPr>
          <w:rFonts w:ascii="Times New Roman" w:hAnsi="Times New Roman"/>
          <w:sz w:val="24"/>
          <w:szCs w:val="24"/>
          <w:lang w:val="en-GB"/>
        </w:rPr>
        <w:t>penelitian</w:t>
      </w:r>
      <w:proofErr w:type="spellEnd"/>
      <w:r w:rsidR="007509EE" w:rsidRPr="00E61652">
        <w:rPr>
          <w:rFonts w:ascii="Times New Roman" w:hAnsi="Times New Roman"/>
          <w:sz w:val="24"/>
          <w:szCs w:val="24"/>
          <w:lang w:val="en-GB"/>
        </w:rPr>
        <w:t xml:space="preserve"> </w:t>
      </w:r>
      <w:proofErr w:type="spellStart"/>
      <w:r w:rsidR="005F517E" w:rsidRPr="00E61652">
        <w:rPr>
          <w:rFonts w:ascii="Times New Roman" w:hAnsi="Times New Roman"/>
          <w:sz w:val="24"/>
          <w:szCs w:val="24"/>
          <w:lang w:val="en-GB"/>
        </w:rPr>
        <w:t>potong</w:t>
      </w:r>
      <w:proofErr w:type="spellEnd"/>
      <w:r w:rsidR="005F517E" w:rsidRPr="00E61652">
        <w:rPr>
          <w:rFonts w:ascii="Times New Roman" w:hAnsi="Times New Roman"/>
          <w:sz w:val="24"/>
          <w:szCs w:val="24"/>
          <w:lang w:val="en-GB"/>
        </w:rPr>
        <w:t xml:space="preserve"> </w:t>
      </w:r>
      <w:proofErr w:type="spellStart"/>
      <w:r w:rsidR="005F517E" w:rsidRPr="00E61652">
        <w:rPr>
          <w:rFonts w:ascii="Times New Roman" w:hAnsi="Times New Roman"/>
          <w:sz w:val="24"/>
          <w:szCs w:val="24"/>
          <w:lang w:val="en-GB"/>
        </w:rPr>
        <w:t>lintang</w:t>
      </w:r>
      <w:proofErr w:type="spellEnd"/>
      <w:r w:rsidR="005F517E" w:rsidRPr="00E61652">
        <w:rPr>
          <w:rFonts w:ascii="Times New Roman" w:hAnsi="Times New Roman"/>
          <w:sz w:val="24"/>
          <w:szCs w:val="24"/>
          <w:lang w:val="en-GB"/>
        </w:rPr>
        <w:t xml:space="preserve"> </w:t>
      </w:r>
      <w:r w:rsidR="007509EE" w:rsidRPr="00E61652">
        <w:rPr>
          <w:rFonts w:ascii="Times New Roman" w:hAnsi="Times New Roman"/>
          <w:sz w:val="24"/>
          <w:szCs w:val="24"/>
          <w:lang w:val="en-GB"/>
        </w:rPr>
        <w:t xml:space="preserve">yang </w:t>
      </w:r>
      <w:proofErr w:type="spellStart"/>
      <w:r w:rsidR="005F517E" w:rsidRPr="00E61652">
        <w:rPr>
          <w:rFonts w:ascii="Times New Roman" w:hAnsi="Times New Roman"/>
          <w:sz w:val="24"/>
          <w:szCs w:val="24"/>
          <w:lang w:val="en-GB"/>
        </w:rPr>
        <w:t>dilaksanakan</w:t>
      </w:r>
      <w:proofErr w:type="spellEnd"/>
      <w:r w:rsidR="005F517E" w:rsidRPr="00E61652">
        <w:rPr>
          <w:rFonts w:ascii="Times New Roman" w:hAnsi="Times New Roman"/>
          <w:sz w:val="24"/>
          <w:szCs w:val="24"/>
          <w:lang w:val="en-GB"/>
        </w:rPr>
        <w:t xml:space="preserve"> </w:t>
      </w:r>
      <w:proofErr w:type="spellStart"/>
      <w:r w:rsidR="005F517E" w:rsidRPr="00E61652">
        <w:rPr>
          <w:rFonts w:ascii="Times New Roman" w:hAnsi="Times New Roman"/>
          <w:sz w:val="24"/>
          <w:szCs w:val="24"/>
          <w:lang w:val="en-GB"/>
        </w:rPr>
        <w:t>di</w:t>
      </w:r>
      <w:proofErr w:type="spellEnd"/>
      <w:r w:rsidR="005F517E" w:rsidRPr="00E61652">
        <w:rPr>
          <w:rFonts w:ascii="Times New Roman" w:hAnsi="Times New Roman"/>
          <w:sz w:val="24"/>
          <w:szCs w:val="24"/>
          <w:lang w:val="en-GB"/>
        </w:rPr>
        <w:t xml:space="preserve"> Kota </w:t>
      </w:r>
      <w:proofErr w:type="spellStart"/>
      <w:r w:rsidR="005F517E" w:rsidRPr="00E61652">
        <w:rPr>
          <w:rFonts w:ascii="Times New Roman" w:hAnsi="Times New Roman"/>
          <w:sz w:val="24"/>
          <w:szCs w:val="24"/>
          <w:lang w:val="en-GB"/>
        </w:rPr>
        <w:t>Depok</w:t>
      </w:r>
      <w:proofErr w:type="spellEnd"/>
      <w:r w:rsidR="005F517E" w:rsidRPr="00E61652">
        <w:rPr>
          <w:rFonts w:ascii="Times New Roman" w:hAnsi="Times New Roman"/>
          <w:sz w:val="24"/>
          <w:szCs w:val="24"/>
          <w:lang w:val="en-GB"/>
        </w:rPr>
        <w:t xml:space="preserve"> </w:t>
      </w:r>
      <w:proofErr w:type="spellStart"/>
      <w:r w:rsidR="005F517E" w:rsidRPr="00E61652">
        <w:rPr>
          <w:rFonts w:ascii="Times New Roman" w:hAnsi="Times New Roman"/>
          <w:sz w:val="24"/>
          <w:szCs w:val="24"/>
          <w:lang w:val="en-GB"/>
        </w:rPr>
        <w:t>pada</w:t>
      </w:r>
      <w:proofErr w:type="spellEnd"/>
      <w:r w:rsidR="005F517E" w:rsidRPr="00E61652">
        <w:rPr>
          <w:rFonts w:ascii="Times New Roman" w:hAnsi="Times New Roman"/>
          <w:sz w:val="24"/>
          <w:szCs w:val="24"/>
          <w:lang w:val="en-GB"/>
        </w:rPr>
        <w:t xml:space="preserve"> </w:t>
      </w:r>
      <w:proofErr w:type="spellStart"/>
      <w:r w:rsidR="005F517E" w:rsidRPr="00E61652">
        <w:rPr>
          <w:rFonts w:ascii="Times New Roman" w:hAnsi="Times New Roman"/>
          <w:sz w:val="24"/>
          <w:szCs w:val="24"/>
          <w:lang w:val="en-GB"/>
        </w:rPr>
        <w:t>periode</w:t>
      </w:r>
      <w:proofErr w:type="spellEnd"/>
      <w:r w:rsidR="005F517E" w:rsidRPr="00E61652">
        <w:rPr>
          <w:rFonts w:ascii="Times New Roman" w:hAnsi="Times New Roman"/>
          <w:sz w:val="24"/>
          <w:szCs w:val="24"/>
          <w:lang w:val="en-GB"/>
        </w:rPr>
        <w:t xml:space="preserve"> </w:t>
      </w:r>
      <w:proofErr w:type="spellStart"/>
      <w:r w:rsidR="005F517E" w:rsidRPr="00E61652">
        <w:rPr>
          <w:rFonts w:ascii="Times New Roman" w:hAnsi="Times New Roman"/>
          <w:sz w:val="24"/>
          <w:szCs w:val="24"/>
          <w:lang w:val="en-GB"/>
        </w:rPr>
        <w:t>bulan</w:t>
      </w:r>
      <w:proofErr w:type="spellEnd"/>
      <w:r w:rsidR="005F517E" w:rsidRPr="00E61652">
        <w:rPr>
          <w:rFonts w:ascii="Times New Roman" w:hAnsi="Times New Roman"/>
          <w:sz w:val="24"/>
          <w:szCs w:val="24"/>
          <w:lang w:val="en-GB"/>
        </w:rPr>
        <w:t xml:space="preserve"> </w:t>
      </w:r>
      <w:proofErr w:type="spellStart"/>
      <w:r w:rsidR="005F517E" w:rsidRPr="00E61652">
        <w:rPr>
          <w:rFonts w:ascii="Times New Roman" w:hAnsi="Times New Roman"/>
          <w:sz w:val="24"/>
          <w:szCs w:val="24"/>
          <w:lang w:val="en-GB"/>
        </w:rPr>
        <w:t>Maret</w:t>
      </w:r>
      <w:proofErr w:type="spellEnd"/>
      <w:r w:rsidR="005F517E" w:rsidRPr="00E61652">
        <w:rPr>
          <w:rFonts w:ascii="Times New Roman" w:hAnsi="Times New Roman"/>
          <w:sz w:val="24"/>
          <w:szCs w:val="24"/>
          <w:lang w:val="en-GB"/>
        </w:rPr>
        <w:t xml:space="preserve"> 2014 </w:t>
      </w:r>
      <w:proofErr w:type="spellStart"/>
      <w:r w:rsidR="005F517E" w:rsidRPr="00E61652">
        <w:rPr>
          <w:rFonts w:ascii="Times New Roman" w:hAnsi="Times New Roman"/>
          <w:sz w:val="24"/>
          <w:szCs w:val="24"/>
          <w:lang w:val="en-GB"/>
        </w:rPr>
        <w:t>sampai</w:t>
      </w:r>
      <w:proofErr w:type="spellEnd"/>
      <w:r w:rsidR="005F517E" w:rsidRPr="00E61652">
        <w:rPr>
          <w:rFonts w:ascii="Times New Roman" w:hAnsi="Times New Roman"/>
          <w:sz w:val="24"/>
          <w:szCs w:val="24"/>
          <w:lang w:val="en-GB"/>
        </w:rPr>
        <w:t xml:space="preserve"> Mei 2014.</w:t>
      </w:r>
      <w:proofErr w:type="gramEnd"/>
      <w:r w:rsidR="005F517E" w:rsidRPr="00E61652">
        <w:rPr>
          <w:rFonts w:ascii="Times New Roman" w:hAnsi="Times New Roman"/>
          <w:sz w:val="24"/>
          <w:szCs w:val="24"/>
          <w:lang w:val="en-GB"/>
        </w:rPr>
        <w:t xml:space="preserve">  </w:t>
      </w:r>
      <w:proofErr w:type="spellStart"/>
      <w:proofErr w:type="gramStart"/>
      <w:r w:rsidR="005F517E" w:rsidRPr="00E61652">
        <w:rPr>
          <w:rFonts w:ascii="Times New Roman" w:hAnsi="Times New Roman"/>
          <w:sz w:val="24"/>
          <w:szCs w:val="24"/>
          <w:lang w:val="en-GB"/>
        </w:rPr>
        <w:t>Sebanyak</w:t>
      </w:r>
      <w:proofErr w:type="spellEnd"/>
      <w:r w:rsidR="005F517E" w:rsidRPr="00E61652">
        <w:rPr>
          <w:rFonts w:ascii="Times New Roman" w:hAnsi="Times New Roman"/>
          <w:sz w:val="24"/>
          <w:szCs w:val="24"/>
          <w:lang w:val="en-GB"/>
        </w:rPr>
        <w:t xml:space="preserve"> 70 </w:t>
      </w:r>
      <w:proofErr w:type="spellStart"/>
      <w:r w:rsidR="005F517E" w:rsidRPr="00E61652">
        <w:rPr>
          <w:rFonts w:ascii="Times New Roman" w:hAnsi="Times New Roman"/>
          <w:sz w:val="24"/>
          <w:szCs w:val="24"/>
          <w:lang w:val="en-GB"/>
        </w:rPr>
        <w:t>orang</w:t>
      </w:r>
      <w:proofErr w:type="spellEnd"/>
      <w:r w:rsidR="005F517E" w:rsidRPr="00E61652">
        <w:rPr>
          <w:rFonts w:ascii="Times New Roman" w:hAnsi="Times New Roman"/>
          <w:sz w:val="24"/>
          <w:szCs w:val="24"/>
          <w:lang w:val="en-GB"/>
        </w:rPr>
        <w:t xml:space="preserve"> yang </w:t>
      </w:r>
      <w:proofErr w:type="spellStart"/>
      <w:r w:rsidR="005F517E" w:rsidRPr="00E61652">
        <w:rPr>
          <w:rFonts w:ascii="Times New Roman" w:hAnsi="Times New Roman"/>
          <w:sz w:val="24"/>
          <w:szCs w:val="24"/>
          <w:lang w:val="en-GB"/>
        </w:rPr>
        <w:t>memenuhi</w:t>
      </w:r>
      <w:proofErr w:type="spellEnd"/>
      <w:r w:rsidR="005F517E" w:rsidRPr="00E61652">
        <w:rPr>
          <w:rFonts w:ascii="Times New Roman" w:hAnsi="Times New Roman"/>
          <w:sz w:val="24"/>
          <w:szCs w:val="24"/>
          <w:lang w:val="en-GB"/>
        </w:rPr>
        <w:t xml:space="preserve"> </w:t>
      </w:r>
      <w:proofErr w:type="spellStart"/>
      <w:r w:rsidR="005F517E" w:rsidRPr="00E61652">
        <w:rPr>
          <w:rFonts w:ascii="Times New Roman" w:hAnsi="Times New Roman"/>
          <w:sz w:val="24"/>
          <w:szCs w:val="24"/>
          <w:lang w:val="en-GB"/>
        </w:rPr>
        <w:t>kriteria</w:t>
      </w:r>
      <w:proofErr w:type="spellEnd"/>
      <w:r w:rsidR="005F517E" w:rsidRPr="00E61652">
        <w:rPr>
          <w:rFonts w:ascii="Times New Roman" w:hAnsi="Times New Roman"/>
          <w:sz w:val="24"/>
          <w:szCs w:val="24"/>
          <w:lang w:val="en-GB"/>
        </w:rPr>
        <w:t xml:space="preserve"> </w:t>
      </w:r>
      <w:proofErr w:type="spellStart"/>
      <w:r w:rsidR="005F517E" w:rsidRPr="00E61652">
        <w:rPr>
          <w:rFonts w:ascii="Times New Roman" w:hAnsi="Times New Roman"/>
          <w:sz w:val="24"/>
          <w:szCs w:val="24"/>
          <w:lang w:val="en-GB"/>
        </w:rPr>
        <w:t>inklusi</w:t>
      </w:r>
      <w:proofErr w:type="spellEnd"/>
      <w:r w:rsidR="005F517E" w:rsidRPr="00E61652">
        <w:rPr>
          <w:rFonts w:ascii="Times New Roman" w:hAnsi="Times New Roman"/>
          <w:sz w:val="24"/>
          <w:szCs w:val="24"/>
          <w:lang w:val="en-GB"/>
        </w:rPr>
        <w:t xml:space="preserve"> </w:t>
      </w:r>
      <w:proofErr w:type="spellStart"/>
      <w:r w:rsidR="008472C7" w:rsidRPr="00E61652">
        <w:rPr>
          <w:rFonts w:ascii="Times New Roman" w:hAnsi="Times New Roman"/>
          <w:sz w:val="24"/>
          <w:szCs w:val="24"/>
          <w:lang w:val="en-GB"/>
        </w:rPr>
        <w:t>dan</w:t>
      </w:r>
      <w:proofErr w:type="spellEnd"/>
      <w:r w:rsidR="008472C7" w:rsidRPr="00E61652">
        <w:rPr>
          <w:rFonts w:ascii="Times New Roman" w:hAnsi="Times New Roman"/>
          <w:sz w:val="24"/>
          <w:szCs w:val="24"/>
          <w:lang w:val="en-GB"/>
        </w:rPr>
        <w:t xml:space="preserve"> </w:t>
      </w:r>
      <w:proofErr w:type="spellStart"/>
      <w:r w:rsidR="008472C7" w:rsidRPr="00E61652">
        <w:rPr>
          <w:rFonts w:ascii="Times New Roman" w:hAnsi="Times New Roman"/>
          <w:sz w:val="24"/>
          <w:szCs w:val="24"/>
          <w:lang w:val="en-GB"/>
        </w:rPr>
        <w:t>bersedia</w:t>
      </w:r>
      <w:proofErr w:type="spellEnd"/>
      <w:r w:rsidR="008472C7" w:rsidRPr="00E61652">
        <w:rPr>
          <w:rFonts w:ascii="Times New Roman" w:hAnsi="Times New Roman"/>
          <w:sz w:val="24"/>
          <w:szCs w:val="24"/>
          <w:lang w:val="en-GB"/>
        </w:rPr>
        <w:t xml:space="preserve"> </w:t>
      </w:r>
      <w:proofErr w:type="spellStart"/>
      <w:r w:rsidR="008472C7" w:rsidRPr="00E61652">
        <w:rPr>
          <w:rFonts w:ascii="Times New Roman" w:hAnsi="Times New Roman"/>
          <w:sz w:val="24"/>
          <w:szCs w:val="24"/>
          <w:lang w:val="en-GB"/>
        </w:rPr>
        <w:t>menjadi</w:t>
      </w:r>
      <w:proofErr w:type="spellEnd"/>
      <w:r w:rsidR="008472C7" w:rsidRPr="00E61652">
        <w:rPr>
          <w:rFonts w:ascii="Times New Roman" w:hAnsi="Times New Roman"/>
          <w:sz w:val="24"/>
          <w:szCs w:val="24"/>
          <w:lang w:val="en-GB"/>
        </w:rPr>
        <w:t xml:space="preserve"> </w:t>
      </w:r>
      <w:proofErr w:type="spellStart"/>
      <w:r w:rsidR="008472C7" w:rsidRPr="00E61652">
        <w:rPr>
          <w:rFonts w:ascii="Times New Roman" w:hAnsi="Times New Roman"/>
          <w:sz w:val="24"/>
          <w:szCs w:val="24"/>
          <w:lang w:val="en-GB"/>
        </w:rPr>
        <w:t>responden</w:t>
      </w:r>
      <w:proofErr w:type="spellEnd"/>
      <w:r w:rsidR="008472C7" w:rsidRPr="00E61652">
        <w:rPr>
          <w:rFonts w:ascii="Times New Roman" w:hAnsi="Times New Roman"/>
          <w:sz w:val="24"/>
          <w:szCs w:val="24"/>
          <w:lang w:val="en-GB"/>
        </w:rPr>
        <w:t xml:space="preserve"> </w:t>
      </w:r>
      <w:proofErr w:type="spellStart"/>
      <w:r w:rsidR="008472C7" w:rsidRPr="00E61652">
        <w:rPr>
          <w:rFonts w:ascii="Times New Roman" w:hAnsi="Times New Roman"/>
          <w:sz w:val="24"/>
          <w:szCs w:val="24"/>
          <w:lang w:val="en-GB"/>
        </w:rPr>
        <w:t>penelitian</w:t>
      </w:r>
      <w:proofErr w:type="spellEnd"/>
      <w:r w:rsidR="008472C7" w:rsidRPr="00E61652">
        <w:rPr>
          <w:rFonts w:ascii="Times New Roman" w:hAnsi="Times New Roman"/>
          <w:sz w:val="24"/>
          <w:szCs w:val="24"/>
          <w:lang w:val="en-GB"/>
        </w:rPr>
        <w:t xml:space="preserve"> </w:t>
      </w:r>
      <w:proofErr w:type="spellStart"/>
      <w:r w:rsidR="005F517E" w:rsidRPr="00E61652">
        <w:rPr>
          <w:rFonts w:ascii="Times New Roman" w:hAnsi="Times New Roman"/>
          <w:sz w:val="24"/>
          <w:szCs w:val="24"/>
          <w:lang w:val="en-GB"/>
        </w:rPr>
        <w:t>terlibat</w:t>
      </w:r>
      <w:proofErr w:type="spellEnd"/>
      <w:r w:rsidR="005F517E" w:rsidRPr="00E61652">
        <w:rPr>
          <w:rFonts w:ascii="Times New Roman" w:hAnsi="Times New Roman"/>
          <w:sz w:val="24"/>
          <w:szCs w:val="24"/>
          <w:lang w:val="en-GB"/>
        </w:rPr>
        <w:t xml:space="preserve"> </w:t>
      </w:r>
      <w:proofErr w:type="spellStart"/>
      <w:r w:rsidR="005F517E" w:rsidRPr="00E61652">
        <w:rPr>
          <w:rFonts w:ascii="Times New Roman" w:hAnsi="Times New Roman"/>
          <w:sz w:val="24"/>
          <w:szCs w:val="24"/>
          <w:lang w:val="en-GB"/>
        </w:rPr>
        <w:t>dalam</w:t>
      </w:r>
      <w:proofErr w:type="spellEnd"/>
      <w:r w:rsidR="005F517E" w:rsidRPr="00E61652">
        <w:rPr>
          <w:rFonts w:ascii="Times New Roman" w:hAnsi="Times New Roman"/>
          <w:sz w:val="24"/>
          <w:szCs w:val="24"/>
          <w:lang w:val="en-GB"/>
        </w:rPr>
        <w:t xml:space="preserve"> </w:t>
      </w:r>
      <w:proofErr w:type="spellStart"/>
      <w:r w:rsidR="005F517E" w:rsidRPr="00E61652">
        <w:rPr>
          <w:rFonts w:ascii="Times New Roman" w:hAnsi="Times New Roman"/>
          <w:sz w:val="24"/>
          <w:szCs w:val="24"/>
          <w:lang w:val="en-GB"/>
        </w:rPr>
        <w:t>penelitian</w:t>
      </w:r>
      <w:proofErr w:type="spellEnd"/>
      <w:r w:rsidR="005F517E" w:rsidRPr="00E61652">
        <w:rPr>
          <w:rFonts w:ascii="Times New Roman" w:hAnsi="Times New Roman"/>
          <w:sz w:val="24"/>
          <w:szCs w:val="24"/>
          <w:lang w:val="en-GB"/>
        </w:rPr>
        <w:t xml:space="preserve"> </w:t>
      </w:r>
      <w:proofErr w:type="spellStart"/>
      <w:r w:rsidR="005F517E" w:rsidRPr="00E61652">
        <w:rPr>
          <w:rFonts w:ascii="Times New Roman" w:hAnsi="Times New Roman"/>
          <w:sz w:val="24"/>
          <w:szCs w:val="24"/>
          <w:lang w:val="en-GB"/>
        </w:rPr>
        <w:t>ini.</w:t>
      </w:r>
      <w:r w:rsidR="00203A1B" w:rsidRPr="00E61652">
        <w:rPr>
          <w:rFonts w:ascii="Times New Roman" w:hAnsi="Times New Roman"/>
          <w:sz w:val="24"/>
          <w:szCs w:val="24"/>
          <w:lang w:val="en-GB"/>
        </w:rPr>
        <w:t>U</w:t>
      </w:r>
      <w:r w:rsidR="00C41941" w:rsidRPr="00E61652">
        <w:rPr>
          <w:rStyle w:val="A0"/>
          <w:rFonts w:ascii="Times New Roman" w:hAnsi="Times New Roman" w:cs="Times New Roman"/>
          <w:i w:val="0"/>
          <w:color w:val="auto"/>
          <w:sz w:val="24"/>
          <w:szCs w:val="24"/>
        </w:rPr>
        <w:t>ji</w:t>
      </w:r>
      <w:proofErr w:type="spellEnd"/>
      <w:r w:rsidR="00C41941" w:rsidRPr="00E61652">
        <w:rPr>
          <w:rStyle w:val="A0"/>
          <w:rFonts w:ascii="Times New Roman" w:hAnsi="Times New Roman" w:cs="Times New Roman"/>
          <w:i w:val="0"/>
          <w:color w:val="auto"/>
          <w:sz w:val="24"/>
          <w:szCs w:val="24"/>
        </w:rPr>
        <w:t xml:space="preserve"> </w:t>
      </w:r>
      <w:proofErr w:type="spellStart"/>
      <w:r w:rsidR="00C41941" w:rsidRPr="00E61652">
        <w:rPr>
          <w:rStyle w:val="A0"/>
          <w:rFonts w:ascii="Times New Roman" w:hAnsi="Times New Roman" w:cs="Times New Roman"/>
          <w:i w:val="0"/>
          <w:color w:val="auto"/>
          <w:sz w:val="24"/>
          <w:szCs w:val="24"/>
        </w:rPr>
        <w:t>kai</w:t>
      </w:r>
      <w:proofErr w:type="spellEnd"/>
      <w:r w:rsidR="00C41941" w:rsidRPr="00E61652">
        <w:rPr>
          <w:rStyle w:val="A0"/>
          <w:rFonts w:ascii="Times New Roman" w:hAnsi="Times New Roman" w:cs="Times New Roman"/>
          <w:i w:val="0"/>
          <w:color w:val="auto"/>
          <w:sz w:val="24"/>
          <w:szCs w:val="24"/>
        </w:rPr>
        <w:t xml:space="preserve"> </w:t>
      </w:r>
      <w:proofErr w:type="spellStart"/>
      <w:r w:rsidR="00C41941" w:rsidRPr="00E61652">
        <w:rPr>
          <w:rStyle w:val="A0"/>
          <w:rFonts w:ascii="Times New Roman" w:hAnsi="Times New Roman" w:cs="Times New Roman"/>
          <w:i w:val="0"/>
          <w:color w:val="auto"/>
          <w:sz w:val="24"/>
          <w:szCs w:val="24"/>
        </w:rPr>
        <w:t>kuadrat</w:t>
      </w:r>
      <w:proofErr w:type="spellEnd"/>
      <w:r w:rsidR="00C41941" w:rsidRPr="00E61652">
        <w:rPr>
          <w:rStyle w:val="A0"/>
          <w:rFonts w:ascii="Times New Roman" w:hAnsi="Times New Roman" w:cs="Times New Roman"/>
          <w:i w:val="0"/>
          <w:color w:val="auto"/>
          <w:sz w:val="24"/>
          <w:szCs w:val="24"/>
        </w:rPr>
        <w:t xml:space="preserve"> </w:t>
      </w:r>
      <w:proofErr w:type="spellStart"/>
      <w:r w:rsidR="00C41941" w:rsidRPr="00E61652">
        <w:rPr>
          <w:rStyle w:val="A0"/>
          <w:rFonts w:ascii="Times New Roman" w:hAnsi="Times New Roman" w:cs="Times New Roman"/>
          <w:i w:val="0"/>
          <w:color w:val="auto"/>
          <w:sz w:val="24"/>
          <w:szCs w:val="24"/>
        </w:rPr>
        <w:t>dilanjutkan</w:t>
      </w:r>
      <w:proofErr w:type="spellEnd"/>
      <w:r w:rsidR="00C41941" w:rsidRPr="00E61652">
        <w:rPr>
          <w:rStyle w:val="A0"/>
          <w:rFonts w:ascii="Times New Roman" w:hAnsi="Times New Roman" w:cs="Times New Roman"/>
          <w:i w:val="0"/>
          <w:color w:val="auto"/>
          <w:sz w:val="24"/>
          <w:szCs w:val="24"/>
        </w:rPr>
        <w:t xml:space="preserve"> </w:t>
      </w:r>
      <w:proofErr w:type="spellStart"/>
      <w:r w:rsidR="00C41941" w:rsidRPr="00E61652">
        <w:rPr>
          <w:rStyle w:val="A0"/>
          <w:rFonts w:ascii="Times New Roman" w:hAnsi="Times New Roman" w:cs="Times New Roman"/>
          <w:i w:val="0"/>
          <w:color w:val="auto"/>
          <w:sz w:val="24"/>
          <w:szCs w:val="24"/>
        </w:rPr>
        <w:t>dengan</w:t>
      </w:r>
      <w:proofErr w:type="spellEnd"/>
      <w:r w:rsidR="00C41941" w:rsidRPr="00E61652">
        <w:rPr>
          <w:rStyle w:val="A0"/>
          <w:rFonts w:ascii="Times New Roman" w:hAnsi="Times New Roman" w:cs="Times New Roman"/>
          <w:i w:val="0"/>
          <w:color w:val="auto"/>
          <w:sz w:val="24"/>
          <w:szCs w:val="24"/>
        </w:rPr>
        <w:t xml:space="preserve"> </w:t>
      </w:r>
      <w:proofErr w:type="spellStart"/>
      <w:r w:rsidR="00C41941" w:rsidRPr="00E61652">
        <w:rPr>
          <w:rStyle w:val="A0"/>
          <w:rFonts w:ascii="Times New Roman" w:hAnsi="Times New Roman" w:cs="Times New Roman"/>
          <w:i w:val="0"/>
          <w:color w:val="auto"/>
          <w:sz w:val="24"/>
          <w:szCs w:val="24"/>
        </w:rPr>
        <w:t>analisis</w:t>
      </w:r>
      <w:proofErr w:type="spellEnd"/>
      <w:r w:rsidR="00C41941" w:rsidRPr="00E61652">
        <w:rPr>
          <w:rStyle w:val="A0"/>
          <w:rFonts w:ascii="Times New Roman" w:hAnsi="Times New Roman" w:cs="Times New Roman"/>
          <w:i w:val="0"/>
          <w:color w:val="auto"/>
          <w:sz w:val="24"/>
          <w:szCs w:val="24"/>
        </w:rPr>
        <w:t xml:space="preserve"> </w:t>
      </w:r>
      <w:proofErr w:type="spellStart"/>
      <w:r w:rsidR="00C41941" w:rsidRPr="00E61652">
        <w:rPr>
          <w:rStyle w:val="A0"/>
          <w:rFonts w:ascii="Times New Roman" w:hAnsi="Times New Roman" w:cs="Times New Roman"/>
          <w:i w:val="0"/>
          <w:color w:val="auto"/>
          <w:sz w:val="24"/>
          <w:szCs w:val="24"/>
        </w:rPr>
        <w:t>multivariat</w:t>
      </w:r>
      <w:proofErr w:type="spellEnd"/>
      <w:r w:rsidR="00C41941" w:rsidRPr="00E61652">
        <w:rPr>
          <w:rStyle w:val="A0"/>
          <w:rFonts w:ascii="Times New Roman" w:hAnsi="Times New Roman" w:cs="Times New Roman"/>
          <w:i w:val="0"/>
          <w:color w:val="auto"/>
          <w:sz w:val="24"/>
          <w:szCs w:val="24"/>
        </w:rPr>
        <w:t xml:space="preserve"> </w:t>
      </w:r>
      <w:proofErr w:type="spellStart"/>
      <w:r w:rsidR="00C41941" w:rsidRPr="00E61652">
        <w:rPr>
          <w:rStyle w:val="A0"/>
          <w:rFonts w:ascii="Times New Roman" w:hAnsi="Times New Roman" w:cs="Times New Roman"/>
          <w:i w:val="0"/>
          <w:color w:val="auto"/>
          <w:sz w:val="24"/>
          <w:szCs w:val="24"/>
        </w:rPr>
        <w:t>uji</w:t>
      </w:r>
      <w:proofErr w:type="spellEnd"/>
      <w:r w:rsidR="00C41941" w:rsidRPr="00E61652">
        <w:rPr>
          <w:rStyle w:val="A0"/>
          <w:rFonts w:ascii="Times New Roman" w:hAnsi="Times New Roman" w:cs="Times New Roman"/>
          <w:i w:val="0"/>
          <w:color w:val="auto"/>
          <w:sz w:val="24"/>
          <w:szCs w:val="24"/>
        </w:rPr>
        <w:t xml:space="preserve"> </w:t>
      </w:r>
      <w:proofErr w:type="spellStart"/>
      <w:r w:rsidR="00C41941" w:rsidRPr="00E61652">
        <w:rPr>
          <w:rStyle w:val="A0"/>
          <w:rFonts w:ascii="Times New Roman" w:hAnsi="Times New Roman" w:cs="Times New Roman"/>
          <w:i w:val="0"/>
          <w:color w:val="auto"/>
          <w:sz w:val="24"/>
          <w:szCs w:val="24"/>
        </w:rPr>
        <w:t>regresi</w:t>
      </w:r>
      <w:proofErr w:type="spellEnd"/>
      <w:r w:rsidR="00C41941" w:rsidRPr="00E61652">
        <w:rPr>
          <w:rStyle w:val="A0"/>
          <w:rFonts w:ascii="Times New Roman" w:hAnsi="Times New Roman" w:cs="Times New Roman"/>
          <w:i w:val="0"/>
          <w:color w:val="auto"/>
          <w:sz w:val="24"/>
          <w:szCs w:val="24"/>
        </w:rPr>
        <w:t xml:space="preserve"> </w:t>
      </w:r>
      <w:proofErr w:type="spellStart"/>
      <w:r w:rsidR="00C41941" w:rsidRPr="00E61652">
        <w:rPr>
          <w:rStyle w:val="A0"/>
          <w:rFonts w:ascii="Times New Roman" w:hAnsi="Times New Roman" w:cs="Times New Roman"/>
          <w:i w:val="0"/>
          <w:color w:val="auto"/>
          <w:sz w:val="24"/>
          <w:szCs w:val="24"/>
        </w:rPr>
        <w:t>logistik</w:t>
      </w:r>
      <w:proofErr w:type="spellEnd"/>
      <w:r w:rsidR="00C41941" w:rsidRPr="00E61652">
        <w:rPr>
          <w:rStyle w:val="A0"/>
          <w:rFonts w:ascii="Times New Roman" w:hAnsi="Times New Roman" w:cs="Times New Roman"/>
          <w:i w:val="0"/>
          <w:color w:val="auto"/>
          <w:sz w:val="24"/>
          <w:szCs w:val="24"/>
        </w:rPr>
        <w:t xml:space="preserve"> </w:t>
      </w:r>
      <w:proofErr w:type="spellStart"/>
      <w:r w:rsidR="00203A1B" w:rsidRPr="00E61652">
        <w:rPr>
          <w:rStyle w:val="A0"/>
          <w:rFonts w:ascii="Times New Roman" w:hAnsi="Times New Roman" w:cs="Times New Roman"/>
          <w:i w:val="0"/>
          <w:color w:val="auto"/>
          <w:sz w:val="24"/>
          <w:szCs w:val="24"/>
        </w:rPr>
        <w:t>dilakukan</w:t>
      </w:r>
      <w:proofErr w:type="spellEnd"/>
      <w:r w:rsidR="00203A1B" w:rsidRPr="00E61652">
        <w:rPr>
          <w:rStyle w:val="A0"/>
          <w:rFonts w:ascii="Times New Roman" w:hAnsi="Times New Roman" w:cs="Times New Roman"/>
          <w:i w:val="0"/>
          <w:color w:val="auto"/>
          <w:sz w:val="24"/>
          <w:szCs w:val="24"/>
        </w:rPr>
        <w:t xml:space="preserve"> </w:t>
      </w:r>
      <w:proofErr w:type="spellStart"/>
      <w:r w:rsidR="00C41941" w:rsidRPr="00E61652">
        <w:rPr>
          <w:rStyle w:val="A0"/>
          <w:rFonts w:ascii="Times New Roman" w:hAnsi="Times New Roman" w:cs="Times New Roman"/>
          <w:i w:val="0"/>
          <w:color w:val="auto"/>
          <w:sz w:val="24"/>
          <w:szCs w:val="24"/>
        </w:rPr>
        <w:t>untuk</w:t>
      </w:r>
      <w:proofErr w:type="spellEnd"/>
      <w:r w:rsidR="00C41941" w:rsidRPr="00E61652">
        <w:rPr>
          <w:rStyle w:val="A0"/>
          <w:rFonts w:ascii="Times New Roman" w:hAnsi="Times New Roman" w:cs="Times New Roman"/>
          <w:i w:val="0"/>
          <w:color w:val="auto"/>
          <w:sz w:val="24"/>
          <w:szCs w:val="24"/>
        </w:rPr>
        <w:t xml:space="preserve"> </w:t>
      </w:r>
      <w:proofErr w:type="spellStart"/>
      <w:r w:rsidR="00C41941" w:rsidRPr="00E61652">
        <w:rPr>
          <w:rStyle w:val="A0"/>
          <w:rFonts w:ascii="Times New Roman" w:hAnsi="Times New Roman" w:cs="Times New Roman"/>
          <w:i w:val="0"/>
          <w:color w:val="auto"/>
          <w:sz w:val="24"/>
          <w:szCs w:val="24"/>
        </w:rPr>
        <w:t>mendapatkan</w:t>
      </w:r>
      <w:proofErr w:type="spellEnd"/>
      <w:r w:rsidR="00C41941" w:rsidRPr="00E61652">
        <w:rPr>
          <w:rStyle w:val="A0"/>
          <w:rFonts w:ascii="Times New Roman" w:hAnsi="Times New Roman" w:cs="Times New Roman"/>
          <w:i w:val="0"/>
          <w:color w:val="auto"/>
          <w:sz w:val="24"/>
          <w:szCs w:val="24"/>
        </w:rPr>
        <w:t xml:space="preserve"> </w:t>
      </w:r>
      <w:proofErr w:type="spellStart"/>
      <w:r w:rsidR="00C41941" w:rsidRPr="00E61652">
        <w:rPr>
          <w:rStyle w:val="A0"/>
          <w:rFonts w:ascii="Times New Roman" w:hAnsi="Times New Roman" w:cs="Times New Roman"/>
          <w:i w:val="0"/>
          <w:color w:val="auto"/>
          <w:sz w:val="24"/>
          <w:szCs w:val="24"/>
        </w:rPr>
        <w:t>faktor-faktor</w:t>
      </w:r>
      <w:proofErr w:type="spellEnd"/>
      <w:r w:rsidR="00C41941" w:rsidRPr="00E61652">
        <w:rPr>
          <w:rStyle w:val="A0"/>
          <w:rFonts w:ascii="Times New Roman" w:hAnsi="Times New Roman" w:cs="Times New Roman"/>
          <w:i w:val="0"/>
          <w:color w:val="auto"/>
          <w:sz w:val="24"/>
          <w:szCs w:val="24"/>
        </w:rPr>
        <w:t xml:space="preserve"> yang </w:t>
      </w:r>
      <w:proofErr w:type="spellStart"/>
      <w:r w:rsidR="00C41941" w:rsidRPr="00E61652">
        <w:rPr>
          <w:rStyle w:val="A0"/>
          <w:rFonts w:ascii="Times New Roman" w:hAnsi="Times New Roman" w:cs="Times New Roman"/>
          <w:i w:val="0"/>
          <w:color w:val="auto"/>
          <w:sz w:val="24"/>
          <w:szCs w:val="24"/>
        </w:rPr>
        <w:t>berhubungan</w:t>
      </w:r>
      <w:proofErr w:type="spellEnd"/>
      <w:r w:rsidR="00C41941" w:rsidRPr="00E61652">
        <w:rPr>
          <w:rStyle w:val="A0"/>
          <w:rFonts w:ascii="Times New Roman" w:hAnsi="Times New Roman" w:cs="Times New Roman"/>
          <w:i w:val="0"/>
          <w:color w:val="auto"/>
          <w:sz w:val="24"/>
          <w:szCs w:val="24"/>
        </w:rPr>
        <w:t xml:space="preserve"> </w:t>
      </w:r>
      <w:proofErr w:type="spellStart"/>
      <w:r w:rsidR="00C41941" w:rsidRPr="00E61652">
        <w:rPr>
          <w:rStyle w:val="A0"/>
          <w:rFonts w:ascii="Times New Roman" w:hAnsi="Times New Roman" w:cs="Times New Roman"/>
          <w:i w:val="0"/>
          <w:color w:val="auto"/>
          <w:sz w:val="24"/>
          <w:szCs w:val="24"/>
        </w:rPr>
        <w:t>dengan</w:t>
      </w:r>
      <w:proofErr w:type="spellEnd"/>
      <w:r w:rsidR="00C41941" w:rsidRPr="00E61652">
        <w:rPr>
          <w:rStyle w:val="A0"/>
          <w:rFonts w:ascii="Times New Roman" w:hAnsi="Times New Roman" w:cs="Times New Roman"/>
          <w:i w:val="0"/>
          <w:color w:val="auto"/>
          <w:sz w:val="24"/>
          <w:szCs w:val="24"/>
        </w:rPr>
        <w:t xml:space="preserve"> </w:t>
      </w:r>
      <w:proofErr w:type="spellStart"/>
      <w:r w:rsidR="00C41941" w:rsidRPr="00E61652">
        <w:rPr>
          <w:rStyle w:val="A0"/>
          <w:rFonts w:ascii="Times New Roman" w:hAnsi="Times New Roman" w:cs="Times New Roman"/>
          <w:i w:val="0"/>
          <w:color w:val="auto"/>
          <w:sz w:val="24"/>
          <w:szCs w:val="24"/>
        </w:rPr>
        <w:t>hiperurisemia</w:t>
      </w:r>
      <w:proofErr w:type="spellEnd"/>
      <w:r w:rsidR="00C41941" w:rsidRPr="00E61652">
        <w:rPr>
          <w:rStyle w:val="A0"/>
          <w:rFonts w:ascii="Times New Roman" w:hAnsi="Times New Roman" w:cs="Times New Roman"/>
          <w:i w:val="0"/>
          <w:color w:val="auto"/>
          <w:sz w:val="24"/>
          <w:szCs w:val="24"/>
        </w:rPr>
        <w:t>.</w:t>
      </w:r>
      <w:proofErr w:type="gramEnd"/>
      <w:r w:rsidR="00E61652">
        <w:rPr>
          <w:rStyle w:val="A0"/>
          <w:rFonts w:ascii="Times New Roman" w:hAnsi="Times New Roman" w:cs="Times New Roman"/>
          <w:i w:val="0"/>
          <w:iCs w:val="0"/>
          <w:color w:val="auto"/>
          <w:sz w:val="24"/>
          <w:szCs w:val="24"/>
          <w:lang w:val="id-ID"/>
        </w:rPr>
        <w:t xml:space="preserve"> </w:t>
      </w:r>
      <w:proofErr w:type="spellStart"/>
      <w:r w:rsidR="00C41941" w:rsidRPr="00E61652">
        <w:rPr>
          <w:rFonts w:ascii="Times New Roman" w:hAnsi="Times New Roman"/>
          <w:sz w:val="24"/>
          <w:szCs w:val="24"/>
          <w:lang w:val="en-GB"/>
        </w:rPr>
        <w:t>Sebanyak</w:t>
      </w:r>
      <w:proofErr w:type="spellEnd"/>
      <w:r w:rsidR="00C41941" w:rsidRPr="00E61652">
        <w:rPr>
          <w:rFonts w:ascii="Times New Roman" w:hAnsi="Times New Roman"/>
          <w:sz w:val="24"/>
          <w:szCs w:val="24"/>
          <w:lang w:val="en-GB"/>
        </w:rPr>
        <w:t xml:space="preserve"> 18,6% </w:t>
      </w:r>
      <w:proofErr w:type="spellStart"/>
      <w:r w:rsidR="00C41941" w:rsidRPr="00E61652">
        <w:rPr>
          <w:rFonts w:ascii="Times New Roman" w:hAnsi="Times New Roman"/>
          <w:sz w:val="24"/>
          <w:szCs w:val="24"/>
          <w:lang w:val="en-GB"/>
        </w:rPr>
        <w:t>mengalami</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hiperurisemia</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dimana</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frekuensi</w:t>
      </w:r>
      <w:proofErr w:type="spellEnd"/>
      <w:r w:rsidR="00C41941" w:rsidRPr="00E61652">
        <w:rPr>
          <w:rFonts w:ascii="Times New Roman" w:hAnsi="Times New Roman"/>
          <w:sz w:val="24"/>
          <w:szCs w:val="24"/>
          <w:lang w:val="en-GB"/>
        </w:rPr>
        <w:t xml:space="preserve"> yang </w:t>
      </w:r>
      <w:proofErr w:type="spellStart"/>
      <w:r w:rsidR="00C41941" w:rsidRPr="00E61652">
        <w:rPr>
          <w:rFonts w:ascii="Times New Roman" w:hAnsi="Times New Roman"/>
          <w:sz w:val="24"/>
          <w:szCs w:val="24"/>
          <w:lang w:val="en-GB"/>
        </w:rPr>
        <w:t>lebih</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sering</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pada</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laki-laki</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usia</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di</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atas</w:t>
      </w:r>
      <w:proofErr w:type="spellEnd"/>
      <w:r w:rsidR="00C41941" w:rsidRPr="00E61652">
        <w:rPr>
          <w:rFonts w:ascii="Times New Roman" w:hAnsi="Times New Roman"/>
          <w:sz w:val="24"/>
          <w:szCs w:val="24"/>
          <w:lang w:val="en-GB"/>
        </w:rPr>
        <w:t xml:space="preserve"> 50 </w:t>
      </w:r>
      <w:proofErr w:type="spellStart"/>
      <w:r w:rsidR="00C41941" w:rsidRPr="00E61652">
        <w:rPr>
          <w:rFonts w:ascii="Times New Roman" w:hAnsi="Times New Roman"/>
          <w:sz w:val="24"/>
          <w:szCs w:val="24"/>
          <w:lang w:val="en-GB"/>
        </w:rPr>
        <w:t>tahun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pendidikan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akhir</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sekolah</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dasar</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tidak</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bekerja</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dan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memiliki</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riwayat</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mengonsumsi</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makanan</w:t>
      </w:r>
      <w:proofErr w:type="spellEnd"/>
      <w:r w:rsidR="00C41941" w:rsidRPr="00E61652">
        <w:rPr>
          <w:rFonts w:ascii="Times New Roman" w:hAnsi="Times New Roman"/>
          <w:sz w:val="24"/>
          <w:szCs w:val="24"/>
          <w:lang w:val="en-GB"/>
        </w:rPr>
        <w:t xml:space="preserve"> yang </w:t>
      </w:r>
      <w:proofErr w:type="spellStart"/>
      <w:r w:rsidR="00C41941" w:rsidRPr="00E61652">
        <w:rPr>
          <w:rFonts w:ascii="Times New Roman" w:hAnsi="Times New Roman"/>
          <w:sz w:val="24"/>
          <w:szCs w:val="24"/>
          <w:lang w:val="en-GB"/>
        </w:rPr>
        <w:t>mengandung</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tinggi</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purin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Analisis</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multivariat</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menunjukkan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hubungan</w:t>
      </w:r>
      <w:proofErr w:type="spellEnd"/>
      <w:r w:rsidR="00C41941" w:rsidRPr="00E61652">
        <w:rPr>
          <w:rFonts w:ascii="Times New Roman" w:hAnsi="Times New Roman"/>
          <w:sz w:val="24"/>
          <w:szCs w:val="24"/>
          <w:lang w:val="en-GB"/>
        </w:rPr>
        <w:t xml:space="preserve"> yang </w:t>
      </w:r>
      <w:proofErr w:type="spellStart"/>
      <w:r w:rsidR="00C41941" w:rsidRPr="00E61652">
        <w:rPr>
          <w:rFonts w:ascii="Times New Roman" w:hAnsi="Times New Roman"/>
          <w:sz w:val="24"/>
          <w:szCs w:val="24"/>
          <w:lang w:val="en-GB"/>
        </w:rPr>
        <w:t>signifikan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antara</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jenis</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kelamin</w:t>
      </w:r>
      <w:proofErr w:type="spellEnd"/>
      <w:r w:rsidR="00C41941" w:rsidRPr="00E61652">
        <w:rPr>
          <w:rFonts w:ascii="Times New Roman" w:hAnsi="Times New Roman"/>
          <w:sz w:val="24"/>
          <w:szCs w:val="24"/>
          <w:lang w:val="en-GB"/>
        </w:rPr>
        <w:t xml:space="preserve">, </w:t>
      </w:r>
      <w:proofErr w:type="spellStart"/>
      <w:proofErr w:type="gramStart"/>
      <w:r w:rsidR="00C41941" w:rsidRPr="00E61652">
        <w:rPr>
          <w:rFonts w:ascii="Times New Roman" w:hAnsi="Times New Roman"/>
          <w:sz w:val="24"/>
          <w:szCs w:val="24"/>
          <w:lang w:val="en-GB"/>
        </w:rPr>
        <w:t>usia</w:t>
      </w:r>
      <w:proofErr w:type="spellEnd"/>
      <w:proofErr w:type="gram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pekerjaan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dan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riwayat</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konsumsi</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purin</w:t>
      </w:r>
      <w:proofErr w:type="spellEnd"/>
      <w:r w:rsidR="00C41941" w:rsidRPr="00E61652">
        <w:rPr>
          <w:rFonts w:ascii="Times New Roman" w:hAnsi="Times New Roman"/>
          <w:sz w:val="24"/>
          <w:szCs w:val="24"/>
          <w:lang w:val="en-GB"/>
        </w:rPr>
        <w:t xml:space="preserve">. </w:t>
      </w:r>
      <w:proofErr w:type="spellStart"/>
      <w:proofErr w:type="gramStart"/>
      <w:r w:rsidR="00C41941" w:rsidRPr="00E61652">
        <w:rPr>
          <w:rFonts w:ascii="Times New Roman" w:hAnsi="Times New Roman"/>
          <w:sz w:val="24"/>
          <w:szCs w:val="24"/>
          <w:lang w:val="en-GB"/>
        </w:rPr>
        <w:t>Oleh</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karena</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prevalensi</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hiperurisemia</w:t>
      </w:r>
      <w:proofErr w:type="spellEnd"/>
      <w:r w:rsidR="00C41941" w:rsidRPr="00E61652">
        <w:rPr>
          <w:rFonts w:ascii="Times New Roman" w:hAnsi="Times New Roman"/>
          <w:sz w:val="24"/>
          <w:szCs w:val="24"/>
          <w:lang w:val="en-GB"/>
        </w:rPr>
        <w:t xml:space="preserve"> yang </w:t>
      </w:r>
      <w:proofErr w:type="spellStart"/>
      <w:r w:rsidR="00C41941" w:rsidRPr="00E61652">
        <w:rPr>
          <w:rFonts w:ascii="Times New Roman" w:hAnsi="Times New Roman"/>
          <w:sz w:val="24"/>
          <w:szCs w:val="24"/>
          <w:lang w:val="en-GB"/>
        </w:rPr>
        <w:t>relatif</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tinggi</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maka</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disarankan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perubahan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perilaku</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konsumsi</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makan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dan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kontrol</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terhadap</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kosumsi</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purin</w:t>
      </w:r>
      <w:proofErr w:type="spellEnd"/>
      <w:r w:rsidR="00C41941" w:rsidRPr="00E61652">
        <w:rPr>
          <w:rFonts w:ascii="Times New Roman" w:hAnsi="Times New Roman"/>
          <w:sz w:val="24"/>
          <w:szCs w:val="24"/>
          <w:lang w:val="en-GB"/>
        </w:rPr>
        <w:t xml:space="preserve"> yang </w:t>
      </w:r>
      <w:proofErr w:type="spellStart"/>
      <w:r w:rsidR="00C41941" w:rsidRPr="00E61652">
        <w:rPr>
          <w:rFonts w:ascii="Times New Roman" w:hAnsi="Times New Roman"/>
          <w:sz w:val="24"/>
          <w:szCs w:val="24"/>
          <w:lang w:val="en-GB"/>
        </w:rPr>
        <w:t>dapat</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meminimalisir</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terjadinya</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kondisi</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ini</w:t>
      </w:r>
      <w:proofErr w:type="spellEnd"/>
      <w:r w:rsidR="00C41941" w:rsidRPr="00E61652">
        <w:rPr>
          <w:rFonts w:ascii="Times New Roman" w:hAnsi="Times New Roman"/>
          <w:sz w:val="24"/>
          <w:szCs w:val="24"/>
          <w:lang w:val="en-GB"/>
        </w:rPr>
        <w:t>.</w:t>
      </w:r>
      <w:proofErr w:type="gramEnd"/>
      <w:r w:rsidR="00C41941" w:rsidRPr="00E61652">
        <w:rPr>
          <w:rFonts w:ascii="Times New Roman" w:hAnsi="Times New Roman"/>
          <w:sz w:val="24"/>
          <w:szCs w:val="24"/>
          <w:lang w:val="en-GB"/>
        </w:rPr>
        <w:t xml:space="preserve"> </w:t>
      </w:r>
      <w:proofErr w:type="spellStart"/>
      <w:proofErr w:type="gramStart"/>
      <w:r w:rsidR="00C41941" w:rsidRPr="00E61652">
        <w:rPr>
          <w:rFonts w:ascii="Times New Roman" w:hAnsi="Times New Roman"/>
          <w:sz w:val="24"/>
          <w:szCs w:val="24"/>
          <w:lang w:val="en-GB"/>
        </w:rPr>
        <w:t>Lebih</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lanjut</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disarankan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untuk</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banyak</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minum</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dan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makan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buah-buahan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menghindari</w:t>
      </w:r>
      <w:proofErr w:type="spellEnd"/>
      <w:r w:rsidR="00C41941" w:rsidRPr="00E61652">
        <w:rPr>
          <w:rFonts w:ascii="Times New Roman" w:hAnsi="Times New Roman"/>
          <w:sz w:val="24"/>
          <w:szCs w:val="24"/>
          <w:lang w:val="en-GB"/>
        </w:rPr>
        <w:t xml:space="preserve"> stress </w:t>
      </w:r>
      <w:proofErr w:type="spellStart"/>
      <w:r w:rsidR="00C41941" w:rsidRPr="00E61652">
        <w:rPr>
          <w:rFonts w:ascii="Times New Roman" w:hAnsi="Times New Roman"/>
          <w:sz w:val="24"/>
          <w:szCs w:val="24"/>
          <w:lang w:val="en-GB"/>
        </w:rPr>
        <w:t>dan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melakukan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aktivitas</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fisik</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secara</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teratur</w:t>
      </w:r>
      <w:proofErr w:type="spellEnd"/>
      <w:r w:rsidR="00C41941" w:rsidRPr="00E61652">
        <w:rPr>
          <w:rFonts w:ascii="Times New Roman" w:hAnsi="Times New Roman"/>
          <w:sz w:val="24"/>
          <w:szCs w:val="24"/>
          <w:lang w:val="en-GB"/>
        </w:rPr>
        <w:t>.</w:t>
      </w:r>
      <w:proofErr w:type="gramEnd"/>
    </w:p>
    <w:p w:rsidR="00712D30" w:rsidRPr="00E61652" w:rsidRDefault="00712D30" w:rsidP="00C41941">
      <w:pPr>
        <w:jc w:val="both"/>
        <w:rPr>
          <w:rFonts w:ascii="Times New Roman" w:hAnsi="Times New Roman" w:cs="Times New Roman"/>
          <w:b/>
          <w:sz w:val="24"/>
          <w:szCs w:val="24"/>
          <w:lang w:val="en-GB"/>
        </w:rPr>
      </w:pPr>
    </w:p>
    <w:p w:rsidR="00C41941" w:rsidRPr="00E61652" w:rsidRDefault="00C41941" w:rsidP="00C41941">
      <w:pPr>
        <w:jc w:val="both"/>
        <w:rPr>
          <w:rFonts w:ascii="Times New Roman" w:hAnsi="Times New Roman" w:cs="Times New Roman"/>
          <w:i/>
          <w:sz w:val="24"/>
          <w:szCs w:val="24"/>
        </w:rPr>
      </w:pPr>
      <w:r w:rsidRPr="00E61652">
        <w:rPr>
          <w:rFonts w:ascii="Times New Roman" w:hAnsi="Times New Roman" w:cs="Times New Roman"/>
          <w:sz w:val="24"/>
          <w:szCs w:val="24"/>
        </w:rPr>
        <w:t xml:space="preserve">Kata kunci: </w:t>
      </w:r>
      <w:r w:rsidRPr="00E61652">
        <w:rPr>
          <w:rFonts w:ascii="Times New Roman" w:hAnsi="Times New Roman" w:cs="Times New Roman"/>
          <w:i/>
          <w:sz w:val="24"/>
          <w:szCs w:val="24"/>
        </w:rPr>
        <w:t>asam urat, jenis kelamin, pengetahuan, umur, tingkat pendidikan</w:t>
      </w:r>
    </w:p>
    <w:p w:rsidR="00C41941" w:rsidRPr="00E61652" w:rsidRDefault="00C41941" w:rsidP="00C41941">
      <w:pPr>
        <w:pStyle w:val="ListParagraph"/>
        <w:spacing w:after="0" w:line="240" w:lineRule="auto"/>
        <w:ind w:left="0"/>
        <w:jc w:val="center"/>
        <w:rPr>
          <w:rFonts w:ascii="Times New Roman" w:hAnsi="Times New Roman"/>
          <w:sz w:val="24"/>
          <w:szCs w:val="24"/>
          <w:lang w:val="en-GB"/>
        </w:rPr>
      </w:pPr>
    </w:p>
    <w:p w:rsidR="00F00065" w:rsidRPr="00E61652" w:rsidRDefault="00F00065" w:rsidP="00C41941">
      <w:pPr>
        <w:pStyle w:val="ListParagraph"/>
        <w:spacing w:after="0" w:line="240" w:lineRule="auto"/>
        <w:ind w:left="0"/>
        <w:jc w:val="center"/>
        <w:rPr>
          <w:rFonts w:ascii="Times New Roman" w:hAnsi="Times New Roman"/>
          <w:b/>
          <w:lang w:val="en-GB"/>
        </w:rPr>
      </w:pPr>
    </w:p>
    <w:p w:rsidR="00F00065" w:rsidRDefault="00F00065" w:rsidP="00C41941">
      <w:pPr>
        <w:pStyle w:val="ListParagraph"/>
        <w:spacing w:after="0" w:line="240" w:lineRule="auto"/>
        <w:ind w:left="0"/>
        <w:jc w:val="center"/>
        <w:rPr>
          <w:rFonts w:ascii="Times New Roman" w:hAnsi="Times New Roman"/>
          <w:b/>
          <w:lang w:val="id-ID"/>
        </w:rPr>
      </w:pPr>
    </w:p>
    <w:p w:rsidR="00E61652" w:rsidRDefault="00E61652" w:rsidP="00C41941">
      <w:pPr>
        <w:pStyle w:val="ListParagraph"/>
        <w:spacing w:after="0" w:line="240" w:lineRule="auto"/>
        <w:ind w:left="0"/>
        <w:jc w:val="center"/>
        <w:rPr>
          <w:rFonts w:ascii="Times New Roman" w:hAnsi="Times New Roman"/>
          <w:b/>
          <w:lang w:val="id-ID"/>
        </w:rPr>
      </w:pPr>
    </w:p>
    <w:p w:rsidR="00E61652" w:rsidRDefault="00E61652" w:rsidP="00C41941">
      <w:pPr>
        <w:pStyle w:val="ListParagraph"/>
        <w:spacing w:after="0" w:line="240" w:lineRule="auto"/>
        <w:ind w:left="0"/>
        <w:jc w:val="center"/>
        <w:rPr>
          <w:rFonts w:ascii="Times New Roman" w:hAnsi="Times New Roman"/>
          <w:b/>
          <w:lang w:val="id-ID"/>
        </w:rPr>
      </w:pPr>
    </w:p>
    <w:p w:rsidR="00E61652" w:rsidRDefault="00E61652" w:rsidP="00C41941">
      <w:pPr>
        <w:pStyle w:val="ListParagraph"/>
        <w:spacing w:after="0" w:line="240" w:lineRule="auto"/>
        <w:ind w:left="0"/>
        <w:jc w:val="center"/>
        <w:rPr>
          <w:rFonts w:ascii="Times New Roman" w:hAnsi="Times New Roman"/>
          <w:b/>
          <w:lang w:val="id-ID"/>
        </w:rPr>
      </w:pPr>
    </w:p>
    <w:p w:rsidR="00E61652" w:rsidRDefault="00E61652" w:rsidP="00C41941">
      <w:pPr>
        <w:pStyle w:val="ListParagraph"/>
        <w:spacing w:after="0" w:line="240" w:lineRule="auto"/>
        <w:ind w:left="0"/>
        <w:jc w:val="center"/>
        <w:rPr>
          <w:rFonts w:ascii="Times New Roman" w:hAnsi="Times New Roman"/>
          <w:b/>
          <w:lang w:val="id-ID"/>
        </w:rPr>
      </w:pPr>
    </w:p>
    <w:p w:rsidR="00E61652" w:rsidRDefault="00E61652" w:rsidP="00C41941">
      <w:pPr>
        <w:pStyle w:val="ListParagraph"/>
        <w:spacing w:after="0" w:line="240" w:lineRule="auto"/>
        <w:ind w:left="0"/>
        <w:jc w:val="center"/>
        <w:rPr>
          <w:rFonts w:ascii="Times New Roman" w:hAnsi="Times New Roman"/>
          <w:b/>
          <w:lang w:val="id-ID"/>
        </w:rPr>
      </w:pPr>
    </w:p>
    <w:p w:rsidR="00E61652" w:rsidRDefault="00E61652" w:rsidP="00C41941">
      <w:pPr>
        <w:pStyle w:val="ListParagraph"/>
        <w:spacing w:after="0" w:line="240" w:lineRule="auto"/>
        <w:ind w:left="0"/>
        <w:jc w:val="center"/>
        <w:rPr>
          <w:rFonts w:ascii="Times New Roman" w:hAnsi="Times New Roman"/>
          <w:b/>
          <w:lang w:val="id-ID"/>
        </w:rPr>
      </w:pPr>
    </w:p>
    <w:p w:rsidR="00E61652" w:rsidRPr="00E61652" w:rsidRDefault="00E61652" w:rsidP="00C41941">
      <w:pPr>
        <w:pStyle w:val="ListParagraph"/>
        <w:spacing w:after="0" w:line="240" w:lineRule="auto"/>
        <w:ind w:left="0"/>
        <w:jc w:val="center"/>
        <w:rPr>
          <w:rFonts w:ascii="Times New Roman" w:hAnsi="Times New Roman"/>
          <w:b/>
          <w:lang w:val="id-ID"/>
        </w:rPr>
      </w:pPr>
    </w:p>
    <w:p w:rsidR="00F00065" w:rsidRPr="00E61652" w:rsidRDefault="00F00065" w:rsidP="00C41941">
      <w:pPr>
        <w:pStyle w:val="ListParagraph"/>
        <w:spacing w:after="0" w:line="240" w:lineRule="auto"/>
        <w:ind w:left="0"/>
        <w:jc w:val="center"/>
        <w:rPr>
          <w:rFonts w:ascii="Times New Roman" w:hAnsi="Times New Roman"/>
          <w:b/>
          <w:lang w:val="en-GB"/>
        </w:rPr>
      </w:pPr>
    </w:p>
    <w:p w:rsidR="00C41941" w:rsidRPr="00E61652" w:rsidRDefault="00C41941" w:rsidP="00C41941">
      <w:pPr>
        <w:pStyle w:val="ListParagraph"/>
        <w:spacing w:after="0" w:line="240" w:lineRule="auto"/>
        <w:ind w:left="0"/>
        <w:jc w:val="center"/>
        <w:rPr>
          <w:rFonts w:ascii="Times New Roman" w:hAnsi="Times New Roman"/>
          <w:b/>
          <w:lang w:val="en-GB"/>
        </w:rPr>
      </w:pPr>
      <w:r w:rsidRPr="00E61652">
        <w:rPr>
          <w:rFonts w:ascii="Times New Roman" w:hAnsi="Times New Roman"/>
          <w:b/>
          <w:lang w:val="id-ID"/>
        </w:rPr>
        <w:lastRenderedPageBreak/>
        <w:t>ABSTRACT</w:t>
      </w:r>
    </w:p>
    <w:p w:rsidR="00F00065" w:rsidRPr="00E61652" w:rsidRDefault="00F00065" w:rsidP="00C41941">
      <w:pPr>
        <w:pStyle w:val="ListParagraph"/>
        <w:spacing w:after="0" w:line="240" w:lineRule="auto"/>
        <w:ind w:left="0"/>
        <w:jc w:val="center"/>
        <w:rPr>
          <w:rFonts w:ascii="Times New Roman" w:hAnsi="Times New Roman"/>
          <w:b/>
          <w:lang w:val="en-GB"/>
        </w:rPr>
      </w:pPr>
    </w:p>
    <w:p w:rsidR="00C41941" w:rsidRPr="00E61652" w:rsidRDefault="00263A78" w:rsidP="00C41941">
      <w:pPr>
        <w:autoSpaceDE w:val="0"/>
        <w:autoSpaceDN w:val="0"/>
        <w:adjustRightInd w:val="0"/>
        <w:jc w:val="both"/>
        <w:rPr>
          <w:rFonts w:ascii="Times New Roman" w:hAnsi="Times New Roman" w:cs="Times New Roman"/>
          <w:lang w:val="en-GB" w:eastAsia="id-ID"/>
        </w:rPr>
      </w:pPr>
      <w:r w:rsidRPr="00E61652">
        <w:rPr>
          <w:rFonts w:ascii="Times New Roman" w:hAnsi="Times New Roman" w:cs="Times New Roman"/>
          <w:lang w:val="en-GB"/>
        </w:rPr>
        <w:t xml:space="preserve">In recent years, there has been an increase in the prevalence of </w:t>
      </w:r>
      <w:proofErr w:type="spellStart"/>
      <w:r w:rsidRPr="00E61652">
        <w:rPr>
          <w:rFonts w:ascii="Times New Roman" w:hAnsi="Times New Roman" w:cs="Times New Roman"/>
          <w:lang w:val="en-GB"/>
        </w:rPr>
        <w:t>hyperuricemia</w:t>
      </w:r>
      <w:proofErr w:type="spellEnd"/>
      <w:r w:rsidRPr="00E61652">
        <w:rPr>
          <w:rFonts w:ascii="Times New Roman" w:hAnsi="Times New Roman" w:cs="Times New Roman"/>
          <w:lang w:val="en-GB"/>
        </w:rPr>
        <w:t xml:space="preserve">, and the latter has attracted attention as an adult lifestyle-associated disease, together with hypertension, diabetes, and </w:t>
      </w:r>
      <w:proofErr w:type="spellStart"/>
      <w:r w:rsidRPr="00E61652">
        <w:rPr>
          <w:rFonts w:ascii="Times New Roman" w:hAnsi="Times New Roman" w:cs="Times New Roman"/>
          <w:lang w:val="en-GB"/>
        </w:rPr>
        <w:t>dyslipidemia</w:t>
      </w:r>
      <w:proofErr w:type="spellEnd"/>
      <w:r w:rsidRPr="00E61652">
        <w:rPr>
          <w:rFonts w:ascii="Times New Roman" w:hAnsi="Times New Roman" w:cs="Times New Roman"/>
          <w:lang w:val="en-GB"/>
        </w:rPr>
        <w:t xml:space="preserve">. </w:t>
      </w:r>
      <w:r w:rsidR="00F00065" w:rsidRPr="00E61652">
        <w:rPr>
          <w:rFonts w:ascii="Times New Roman" w:hAnsi="Times New Roman" w:cs="Times New Roman"/>
          <w:lang w:val="en-GB"/>
        </w:rPr>
        <w:t xml:space="preserve">Previous study showed there is a strong association between insulin resistance and </w:t>
      </w:r>
      <w:proofErr w:type="spellStart"/>
      <w:r w:rsidR="00F00065" w:rsidRPr="00E61652">
        <w:rPr>
          <w:rFonts w:ascii="Times New Roman" w:hAnsi="Times New Roman" w:cs="Times New Roman"/>
          <w:lang w:val="en-GB"/>
        </w:rPr>
        <w:t>hyperuricemia</w:t>
      </w:r>
      <w:proofErr w:type="spellEnd"/>
      <w:r w:rsidR="00F00065" w:rsidRPr="00E61652">
        <w:rPr>
          <w:rFonts w:ascii="Times New Roman" w:hAnsi="Times New Roman" w:cs="Times New Roman"/>
          <w:lang w:val="en-GB"/>
        </w:rPr>
        <w:t xml:space="preserve"> and the metabolic </w:t>
      </w:r>
      <w:proofErr w:type="spellStart"/>
      <w:r w:rsidR="00F00065" w:rsidRPr="00E61652">
        <w:rPr>
          <w:rFonts w:ascii="Times New Roman" w:hAnsi="Times New Roman" w:cs="Times New Roman"/>
          <w:lang w:val="en-GB"/>
        </w:rPr>
        <w:t>syndrome.</w:t>
      </w:r>
      <w:r w:rsidR="00C41941" w:rsidRPr="00E61652">
        <w:rPr>
          <w:rFonts w:ascii="Times New Roman" w:hAnsi="Times New Roman" w:cs="Times New Roman"/>
          <w:lang w:val="en-GB" w:eastAsia="id-ID"/>
        </w:rPr>
        <w:t>Until</w:t>
      </w:r>
      <w:proofErr w:type="spellEnd"/>
      <w:r w:rsidR="00C41941" w:rsidRPr="00E61652">
        <w:rPr>
          <w:rFonts w:ascii="Times New Roman" w:hAnsi="Times New Roman" w:cs="Times New Roman"/>
          <w:lang w:val="en-GB" w:eastAsia="id-ID"/>
        </w:rPr>
        <w:t xml:space="preserve"> now, </w:t>
      </w:r>
      <w:r w:rsidR="00C41941" w:rsidRPr="00E61652">
        <w:rPr>
          <w:rFonts w:ascii="Times New Roman" w:hAnsi="Times New Roman" w:cs="Times New Roman"/>
          <w:lang w:val="en-US" w:eastAsia="id-ID"/>
        </w:rPr>
        <w:t>t</w:t>
      </w:r>
      <w:r w:rsidR="00C41941" w:rsidRPr="00E61652">
        <w:rPr>
          <w:rFonts w:ascii="Times New Roman" w:hAnsi="Times New Roman" w:cs="Times New Roman"/>
          <w:lang w:eastAsia="id-ID"/>
        </w:rPr>
        <w:t xml:space="preserve">here are </w:t>
      </w:r>
      <w:r w:rsidR="00C41941" w:rsidRPr="00E61652">
        <w:rPr>
          <w:rFonts w:ascii="Times New Roman" w:hAnsi="Times New Roman" w:cs="Times New Roman"/>
          <w:lang w:val="en-US" w:eastAsia="id-ID"/>
        </w:rPr>
        <w:t xml:space="preserve">still </w:t>
      </w:r>
      <w:r w:rsidR="00C41941" w:rsidRPr="00E61652">
        <w:rPr>
          <w:rFonts w:ascii="Times New Roman" w:hAnsi="Times New Roman" w:cs="Times New Roman"/>
          <w:lang w:eastAsia="id-ID"/>
        </w:rPr>
        <w:t xml:space="preserve">no definitive data regarding the </w:t>
      </w:r>
      <w:r w:rsidR="00C41941" w:rsidRPr="00E61652">
        <w:rPr>
          <w:rFonts w:ascii="Times New Roman" w:hAnsi="Times New Roman" w:cs="Times New Roman"/>
          <w:lang w:val="en-US" w:eastAsia="id-ID"/>
        </w:rPr>
        <w:t>prevalence of</w:t>
      </w:r>
      <w:r w:rsidR="00C41941" w:rsidRPr="00E61652">
        <w:rPr>
          <w:rFonts w:ascii="Times New Roman" w:hAnsi="Times New Roman" w:cs="Times New Roman"/>
          <w:lang w:eastAsia="id-ID"/>
        </w:rPr>
        <w:t xml:space="preserve"> hyperuricemia in Indonesian</w:t>
      </w:r>
      <w:r w:rsidR="00C41941" w:rsidRPr="00E61652">
        <w:rPr>
          <w:rFonts w:ascii="Times New Roman" w:hAnsi="Times New Roman" w:cs="Times New Roman"/>
          <w:lang w:val="en-US" w:eastAsia="id-ID"/>
        </w:rPr>
        <w:t>.</w:t>
      </w:r>
      <w:r w:rsidR="00C41941" w:rsidRPr="00E61652">
        <w:rPr>
          <w:rFonts w:ascii="Times New Roman" w:hAnsi="Times New Roman" w:cs="Times New Roman"/>
          <w:iCs/>
        </w:rPr>
        <w:t>This study aim</w:t>
      </w:r>
      <w:r w:rsidR="00C41941" w:rsidRPr="00E61652">
        <w:rPr>
          <w:rFonts w:ascii="Times New Roman" w:hAnsi="Times New Roman" w:cs="Times New Roman"/>
          <w:iCs/>
          <w:lang w:val="en-US"/>
        </w:rPr>
        <w:t>s</w:t>
      </w:r>
      <w:r w:rsidR="00C41941" w:rsidRPr="00E61652">
        <w:rPr>
          <w:rFonts w:ascii="Times New Roman" w:hAnsi="Times New Roman" w:cs="Times New Roman"/>
          <w:iCs/>
        </w:rPr>
        <w:t xml:space="preserve"> to estimate the prevalence of hyperuricemia and associated risk factors</w:t>
      </w:r>
      <w:r w:rsidR="00C41941" w:rsidRPr="00E61652">
        <w:rPr>
          <w:rFonts w:ascii="Times New Roman" w:hAnsi="Times New Roman" w:cs="Times New Roman"/>
          <w:lang w:eastAsia="id-ID"/>
        </w:rPr>
        <w:t xml:space="preserve"> in Depok </w:t>
      </w:r>
      <w:r w:rsidR="00C41941" w:rsidRPr="00E61652">
        <w:rPr>
          <w:rFonts w:ascii="Times New Roman" w:hAnsi="Times New Roman" w:cs="Times New Roman"/>
          <w:lang w:val="en-GB" w:eastAsia="id-ID"/>
        </w:rPr>
        <w:t>City, West Java</w:t>
      </w:r>
      <w:r w:rsidR="00C41941" w:rsidRPr="00E61652">
        <w:rPr>
          <w:rFonts w:ascii="Times New Roman" w:hAnsi="Times New Roman" w:cs="Times New Roman"/>
          <w:lang w:eastAsia="id-ID"/>
        </w:rPr>
        <w:t xml:space="preserve">. </w:t>
      </w:r>
      <w:r w:rsidR="00C41941" w:rsidRPr="00E61652">
        <w:rPr>
          <w:rFonts w:ascii="Times New Roman" w:hAnsi="Times New Roman" w:cs="Times New Roman"/>
          <w:lang w:val="en-GB" w:eastAsia="id-ID"/>
        </w:rPr>
        <w:t xml:space="preserve">This was a cross sectional study design which was held in </w:t>
      </w:r>
      <w:proofErr w:type="spellStart"/>
      <w:r w:rsidR="00C41941" w:rsidRPr="00E61652">
        <w:rPr>
          <w:rFonts w:ascii="Times New Roman" w:hAnsi="Times New Roman" w:cs="Times New Roman"/>
          <w:lang w:val="en-GB" w:eastAsia="id-ID"/>
        </w:rPr>
        <w:t>Depok</w:t>
      </w:r>
      <w:proofErr w:type="spellEnd"/>
      <w:r w:rsidR="00C41941" w:rsidRPr="00E61652">
        <w:rPr>
          <w:rFonts w:ascii="Times New Roman" w:hAnsi="Times New Roman" w:cs="Times New Roman"/>
          <w:lang w:val="en-GB" w:eastAsia="id-ID"/>
        </w:rPr>
        <w:t xml:space="preserve">, West Java on the period of </w:t>
      </w:r>
      <w:r w:rsidRPr="00E61652">
        <w:rPr>
          <w:rFonts w:ascii="Times New Roman" w:hAnsi="Times New Roman" w:cs="Times New Roman"/>
          <w:lang w:val="en-GB" w:eastAsia="id-ID"/>
        </w:rPr>
        <w:t xml:space="preserve">March until May 2014. </w:t>
      </w:r>
      <w:r w:rsidR="0070493B" w:rsidRPr="00E61652">
        <w:rPr>
          <w:rFonts w:ascii="Times New Roman" w:hAnsi="Times New Roman" w:cs="Times New Roman"/>
          <w:lang w:val="en-GB"/>
        </w:rPr>
        <w:t xml:space="preserve">Seventy respondents with no history of </w:t>
      </w:r>
      <w:proofErr w:type="spellStart"/>
      <w:r w:rsidR="0070493B" w:rsidRPr="00E61652">
        <w:rPr>
          <w:rFonts w:ascii="Times New Roman" w:hAnsi="Times New Roman" w:cs="Times New Roman"/>
          <w:lang w:val="en-GB"/>
        </w:rPr>
        <w:t>hyperuricemia</w:t>
      </w:r>
      <w:proofErr w:type="spellEnd"/>
      <w:r w:rsidR="0070493B" w:rsidRPr="00E61652">
        <w:rPr>
          <w:rFonts w:ascii="Times New Roman" w:hAnsi="Times New Roman" w:cs="Times New Roman"/>
          <w:lang w:val="en-GB"/>
        </w:rPr>
        <w:t xml:space="preserve"> who fulfilled the criteria and would like to participate in this study were followed up </w:t>
      </w:r>
      <w:r w:rsidR="008472C7" w:rsidRPr="00E61652">
        <w:rPr>
          <w:rFonts w:ascii="Times New Roman" w:hAnsi="Times New Roman" w:cs="Times New Roman"/>
          <w:lang w:val="en-GB"/>
        </w:rPr>
        <w:t xml:space="preserve">to join this </w:t>
      </w:r>
      <w:proofErr w:type="spellStart"/>
      <w:r w:rsidR="008472C7" w:rsidRPr="00E61652">
        <w:rPr>
          <w:rFonts w:ascii="Times New Roman" w:hAnsi="Times New Roman" w:cs="Times New Roman"/>
          <w:lang w:val="en-GB"/>
        </w:rPr>
        <w:t>study.</w:t>
      </w:r>
      <w:r w:rsidR="00C41941" w:rsidRPr="00E61652">
        <w:rPr>
          <w:rFonts w:ascii="Times New Roman" w:hAnsi="Times New Roman" w:cs="Times New Roman"/>
          <w:lang w:val="en-GB"/>
        </w:rPr>
        <w:t>Chi</w:t>
      </w:r>
      <w:proofErr w:type="spellEnd"/>
      <w:r w:rsidR="00C41941" w:rsidRPr="00E61652">
        <w:rPr>
          <w:rFonts w:ascii="Times New Roman" w:hAnsi="Times New Roman" w:cs="Times New Roman"/>
          <w:lang w:val="en-GB"/>
        </w:rPr>
        <w:t xml:space="preserve">-square </w:t>
      </w:r>
      <w:proofErr w:type="spellStart"/>
      <w:r w:rsidR="00C41941" w:rsidRPr="00E61652">
        <w:rPr>
          <w:rFonts w:ascii="Times New Roman" w:hAnsi="Times New Roman" w:cs="Times New Roman"/>
          <w:lang w:val="en-GB"/>
        </w:rPr>
        <w:t>testand</w:t>
      </w:r>
      <w:proofErr w:type="spellEnd"/>
      <w:r w:rsidR="00C41941" w:rsidRPr="00E61652">
        <w:rPr>
          <w:rFonts w:ascii="Times New Roman" w:hAnsi="Times New Roman" w:cs="Times New Roman"/>
          <w:lang w:val="en-GB"/>
        </w:rPr>
        <w:t xml:space="preserve"> multivariate analysis using logistic regression test were done to obtain associated risk factors to </w:t>
      </w:r>
      <w:proofErr w:type="spellStart"/>
      <w:r w:rsidR="00C41941" w:rsidRPr="00E61652">
        <w:rPr>
          <w:rFonts w:ascii="Times New Roman" w:hAnsi="Times New Roman" w:cs="Times New Roman"/>
          <w:lang w:val="en-GB"/>
        </w:rPr>
        <w:t>hyperuricemia</w:t>
      </w:r>
      <w:proofErr w:type="spellEnd"/>
      <w:r w:rsidR="00C41941" w:rsidRPr="00E61652">
        <w:rPr>
          <w:rFonts w:ascii="Times New Roman" w:hAnsi="Times New Roman" w:cs="Times New Roman"/>
          <w:iCs/>
        </w:rPr>
        <w:t>.</w:t>
      </w:r>
      <w:r w:rsidR="00E61652">
        <w:rPr>
          <w:rFonts w:ascii="Times New Roman" w:hAnsi="Times New Roman" w:cs="Times New Roman"/>
          <w:lang w:eastAsia="id-ID"/>
        </w:rPr>
        <w:t xml:space="preserve"> </w:t>
      </w:r>
      <w:r w:rsidR="00C41941" w:rsidRPr="00E61652">
        <w:rPr>
          <w:rFonts w:ascii="Times New Roman" w:hAnsi="Times New Roman" w:cs="Times New Roman"/>
          <w:iCs/>
          <w:lang w:val="en-GB"/>
        </w:rPr>
        <w:t>About 18</w:t>
      </w:r>
      <w:r w:rsidR="00C41941" w:rsidRPr="00E61652">
        <w:rPr>
          <w:rFonts w:ascii="Times New Roman" w:hAnsi="Times New Roman" w:cs="Times New Roman"/>
          <w:iCs/>
        </w:rPr>
        <w:t>.</w:t>
      </w:r>
      <w:r w:rsidR="00C41941" w:rsidRPr="00E61652">
        <w:rPr>
          <w:rFonts w:ascii="Times New Roman" w:hAnsi="Times New Roman" w:cs="Times New Roman"/>
          <w:iCs/>
          <w:lang w:val="en-GB"/>
        </w:rPr>
        <w:t>6</w:t>
      </w:r>
      <w:r w:rsidR="00C41941" w:rsidRPr="00E61652">
        <w:rPr>
          <w:rFonts w:ascii="Times New Roman" w:hAnsi="Times New Roman" w:cs="Times New Roman"/>
          <w:iCs/>
        </w:rPr>
        <w:t>% subjects presented hyperuricemia</w:t>
      </w:r>
      <w:proofErr w:type="gramStart"/>
      <w:r w:rsidR="00C41941" w:rsidRPr="00E61652">
        <w:rPr>
          <w:rFonts w:ascii="Times New Roman" w:hAnsi="Times New Roman" w:cs="Times New Roman"/>
          <w:iCs/>
        </w:rPr>
        <w:t>,which</w:t>
      </w:r>
      <w:proofErr w:type="gramEnd"/>
      <w:r w:rsidR="00C41941" w:rsidRPr="00E61652">
        <w:rPr>
          <w:rFonts w:ascii="Times New Roman" w:hAnsi="Times New Roman" w:cs="Times New Roman"/>
          <w:iCs/>
        </w:rPr>
        <w:t xml:space="preserve"> was more frequent inmales, age </w:t>
      </w:r>
      <w:r w:rsidR="00C41941" w:rsidRPr="00E61652">
        <w:rPr>
          <w:rFonts w:ascii="Times New Roman" w:hAnsi="Times New Roman" w:cs="Times New Roman"/>
        </w:rPr>
        <w:t>≥</w:t>
      </w:r>
      <w:r w:rsidR="00C41941" w:rsidRPr="00E61652">
        <w:rPr>
          <w:rFonts w:ascii="Times New Roman" w:hAnsi="Times New Roman" w:cs="Times New Roman"/>
          <w:iCs/>
        </w:rPr>
        <w:t>5</w:t>
      </w:r>
      <w:r w:rsidR="00C41941" w:rsidRPr="00E61652">
        <w:rPr>
          <w:rFonts w:ascii="Times New Roman" w:hAnsi="Times New Roman" w:cs="Times New Roman"/>
          <w:iCs/>
          <w:lang w:val="en-GB"/>
        </w:rPr>
        <w:t>0</w:t>
      </w:r>
      <w:r w:rsidR="00C41941" w:rsidRPr="00E61652">
        <w:rPr>
          <w:rFonts w:ascii="Times New Roman" w:hAnsi="Times New Roman" w:cs="Times New Roman"/>
          <w:iCs/>
        </w:rPr>
        <w:t xml:space="preserve"> years</w:t>
      </w:r>
      <w:r w:rsidR="00C41941" w:rsidRPr="00E61652">
        <w:rPr>
          <w:rFonts w:ascii="Times New Roman" w:hAnsi="Times New Roman" w:cs="Times New Roman"/>
          <w:iCs/>
          <w:lang w:val="en-US"/>
        </w:rPr>
        <w:t xml:space="preserve"> old</w:t>
      </w:r>
      <w:r w:rsidR="00C41941" w:rsidRPr="00E61652">
        <w:rPr>
          <w:rFonts w:ascii="Times New Roman" w:hAnsi="Times New Roman" w:cs="Times New Roman"/>
          <w:iCs/>
          <w:lang w:val="en-GB"/>
        </w:rPr>
        <w:t>, with elementary school background</w:t>
      </w:r>
      <w:r w:rsidR="00C41941" w:rsidRPr="00E61652">
        <w:rPr>
          <w:rFonts w:ascii="Times New Roman" w:hAnsi="Times New Roman" w:cs="Times New Roman"/>
          <w:iCs/>
        </w:rPr>
        <w:t xml:space="preserve">, </w:t>
      </w:r>
      <w:r w:rsidR="00C41941" w:rsidRPr="00E61652">
        <w:rPr>
          <w:rFonts w:ascii="Times New Roman" w:hAnsi="Times New Roman" w:cs="Times New Roman"/>
          <w:iCs/>
          <w:lang w:val="en-GB"/>
        </w:rPr>
        <w:t xml:space="preserve">not working and had history of </w:t>
      </w:r>
      <w:proofErr w:type="spellStart"/>
      <w:r w:rsidR="00C41941" w:rsidRPr="00E61652">
        <w:rPr>
          <w:rFonts w:ascii="Times New Roman" w:hAnsi="Times New Roman" w:cs="Times New Roman"/>
          <w:iCs/>
          <w:lang w:val="en-GB"/>
        </w:rPr>
        <w:t>purine</w:t>
      </w:r>
      <w:proofErr w:type="spellEnd"/>
      <w:r w:rsidR="00C41941" w:rsidRPr="00E61652">
        <w:rPr>
          <w:rFonts w:ascii="Times New Roman" w:hAnsi="Times New Roman" w:cs="Times New Roman"/>
          <w:iCs/>
          <w:lang w:val="en-GB"/>
        </w:rPr>
        <w:t xml:space="preserve"> consumption.</w:t>
      </w:r>
      <w:r w:rsidR="00C41941" w:rsidRPr="00E61652">
        <w:rPr>
          <w:rFonts w:ascii="Times New Roman" w:hAnsi="Times New Roman" w:cs="Times New Roman"/>
          <w:iCs/>
        </w:rPr>
        <w:t xml:space="preserve"> In the multivariate analysis, the association </w:t>
      </w:r>
      <w:r w:rsidR="00C41941" w:rsidRPr="00E61652">
        <w:rPr>
          <w:rFonts w:ascii="Times New Roman" w:hAnsi="Times New Roman" w:cs="Times New Roman"/>
          <w:iCs/>
          <w:lang w:val="en-US"/>
        </w:rPr>
        <w:t xml:space="preserve">was </w:t>
      </w:r>
      <w:r w:rsidR="00C41941" w:rsidRPr="00E61652">
        <w:rPr>
          <w:rFonts w:ascii="Times New Roman" w:hAnsi="Times New Roman" w:cs="Times New Roman"/>
          <w:iCs/>
        </w:rPr>
        <w:t xml:space="preserve">remained significant with gender, </w:t>
      </w:r>
      <w:r w:rsidR="00C41941" w:rsidRPr="00E61652">
        <w:rPr>
          <w:rFonts w:ascii="Times New Roman" w:hAnsi="Times New Roman" w:cs="Times New Roman"/>
          <w:iCs/>
          <w:lang w:val="en-GB"/>
        </w:rPr>
        <w:t xml:space="preserve">age, work status </w:t>
      </w:r>
      <w:r w:rsidR="00C41941" w:rsidRPr="00E61652">
        <w:rPr>
          <w:rFonts w:ascii="Times New Roman" w:hAnsi="Times New Roman" w:cs="Times New Roman"/>
          <w:iCs/>
        </w:rPr>
        <w:t xml:space="preserve">and </w:t>
      </w:r>
      <w:r w:rsidR="00C41941" w:rsidRPr="00E61652">
        <w:rPr>
          <w:rFonts w:ascii="Times New Roman" w:hAnsi="Times New Roman" w:cs="Times New Roman"/>
          <w:iCs/>
          <w:lang w:val="en-GB"/>
        </w:rPr>
        <w:t xml:space="preserve">history of </w:t>
      </w:r>
      <w:proofErr w:type="spellStart"/>
      <w:r w:rsidR="00C41941" w:rsidRPr="00E61652">
        <w:rPr>
          <w:rFonts w:ascii="Times New Roman" w:hAnsi="Times New Roman" w:cs="Times New Roman"/>
          <w:iCs/>
          <w:lang w:val="en-GB"/>
        </w:rPr>
        <w:t>purine</w:t>
      </w:r>
      <w:proofErr w:type="spellEnd"/>
      <w:r w:rsidR="00C41941" w:rsidRPr="00E61652">
        <w:rPr>
          <w:rFonts w:ascii="Times New Roman" w:hAnsi="Times New Roman" w:cs="Times New Roman"/>
          <w:iCs/>
          <w:lang w:val="en-GB"/>
        </w:rPr>
        <w:t xml:space="preserve"> consumption</w:t>
      </w:r>
      <w:r w:rsidR="00C41941" w:rsidRPr="00E61652">
        <w:rPr>
          <w:rFonts w:ascii="Times New Roman" w:hAnsi="Times New Roman" w:cs="Times New Roman"/>
          <w:iCs/>
        </w:rPr>
        <w:t xml:space="preserve">. </w:t>
      </w:r>
      <w:r w:rsidR="00E61652">
        <w:rPr>
          <w:rFonts w:ascii="Times New Roman" w:hAnsi="Times New Roman" w:cs="Times New Roman"/>
          <w:lang w:eastAsia="id-ID"/>
        </w:rPr>
        <w:t xml:space="preserve"> </w:t>
      </w:r>
      <w:r w:rsidR="00C41941" w:rsidRPr="00E61652">
        <w:rPr>
          <w:rFonts w:ascii="Times New Roman" w:hAnsi="Times New Roman" w:cs="Times New Roman"/>
          <w:iCs/>
        </w:rPr>
        <w:t xml:space="preserve">The high </w:t>
      </w:r>
      <w:r w:rsidR="00C41941" w:rsidRPr="00E61652">
        <w:rPr>
          <w:rFonts w:ascii="Times New Roman" w:hAnsi="Times New Roman" w:cs="Times New Roman"/>
          <w:iCs/>
          <w:lang w:val="en-US"/>
        </w:rPr>
        <w:t xml:space="preserve">level of </w:t>
      </w:r>
      <w:r w:rsidR="00C41941" w:rsidRPr="00E61652">
        <w:rPr>
          <w:rFonts w:ascii="Times New Roman" w:hAnsi="Times New Roman" w:cs="Times New Roman"/>
          <w:iCs/>
        </w:rPr>
        <w:t xml:space="preserve">hyperuricemia prevalence suggests </w:t>
      </w:r>
      <w:r w:rsidR="00C41941" w:rsidRPr="00E61652">
        <w:rPr>
          <w:rFonts w:ascii="Times New Roman" w:hAnsi="Times New Roman" w:cs="Times New Roman"/>
          <w:iCs/>
          <w:lang w:val="en-US"/>
        </w:rPr>
        <w:t>us</w:t>
      </w:r>
      <w:r w:rsidR="00C41941" w:rsidRPr="00E61652">
        <w:rPr>
          <w:rFonts w:ascii="Times New Roman" w:hAnsi="Times New Roman" w:cs="Times New Roman"/>
          <w:iCs/>
        </w:rPr>
        <w:t xml:space="preserve"> chang</w:t>
      </w:r>
      <w:proofErr w:type="spellStart"/>
      <w:r w:rsidR="00C41941" w:rsidRPr="00E61652">
        <w:rPr>
          <w:rFonts w:ascii="Times New Roman" w:hAnsi="Times New Roman" w:cs="Times New Roman"/>
          <w:iCs/>
          <w:lang w:val="en-US"/>
        </w:rPr>
        <w:t>ing</w:t>
      </w:r>
      <w:proofErr w:type="spellEnd"/>
      <w:r w:rsidR="00C41941" w:rsidRPr="00E61652">
        <w:rPr>
          <w:rFonts w:ascii="Times New Roman" w:hAnsi="Times New Roman" w:cs="Times New Roman"/>
          <w:iCs/>
          <w:lang w:val="en-GB"/>
        </w:rPr>
        <w:t xml:space="preserve">food consumption </w:t>
      </w:r>
      <w:r w:rsidR="00C41941" w:rsidRPr="00E61652">
        <w:rPr>
          <w:rFonts w:ascii="Times New Roman" w:hAnsi="Times New Roman" w:cs="Times New Roman"/>
          <w:iCs/>
        </w:rPr>
        <w:t>and control</w:t>
      </w:r>
      <w:r w:rsidR="00C41941" w:rsidRPr="00E61652">
        <w:rPr>
          <w:rFonts w:ascii="Times New Roman" w:hAnsi="Times New Roman" w:cs="Times New Roman"/>
          <w:iCs/>
          <w:lang w:val="en-US"/>
        </w:rPr>
        <w:t>ling</w:t>
      </w:r>
      <w:proofErr w:type="spellStart"/>
      <w:r w:rsidR="00C41941" w:rsidRPr="00E61652">
        <w:rPr>
          <w:rFonts w:ascii="Times New Roman" w:hAnsi="Times New Roman" w:cs="Times New Roman"/>
          <w:iCs/>
          <w:lang w:val="en-GB"/>
        </w:rPr>
        <w:t>purine</w:t>
      </w:r>
      <w:proofErr w:type="spellEnd"/>
      <w:r w:rsidR="00C41941" w:rsidRPr="00E61652">
        <w:rPr>
          <w:rFonts w:ascii="Times New Roman" w:hAnsi="Times New Roman" w:cs="Times New Roman"/>
          <w:iCs/>
          <w:lang w:val="en-GB"/>
        </w:rPr>
        <w:t xml:space="preserve"> consumption </w:t>
      </w:r>
      <w:r w:rsidR="00C41941" w:rsidRPr="00E61652">
        <w:rPr>
          <w:rFonts w:ascii="Times New Roman" w:hAnsi="Times New Roman" w:cs="Times New Roman"/>
          <w:iCs/>
          <w:lang w:val="en-US"/>
        </w:rPr>
        <w:t>to</w:t>
      </w:r>
      <w:r w:rsidR="00C41941" w:rsidRPr="00E61652">
        <w:rPr>
          <w:rFonts w:ascii="Times New Roman" w:hAnsi="Times New Roman" w:cs="Times New Roman"/>
          <w:iCs/>
        </w:rPr>
        <w:t xml:space="preserve"> minimize </w:t>
      </w:r>
      <w:r w:rsidR="00C41941" w:rsidRPr="00E61652">
        <w:rPr>
          <w:rFonts w:ascii="Times New Roman" w:hAnsi="Times New Roman" w:cs="Times New Roman"/>
          <w:iCs/>
          <w:lang w:val="en-US"/>
        </w:rPr>
        <w:t xml:space="preserve">the </w:t>
      </w:r>
      <w:r w:rsidR="00C41941" w:rsidRPr="00E61652">
        <w:rPr>
          <w:rFonts w:ascii="Times New Roman" w:hAnsi="Times New Roman" w:cs="Times New Roman"/>
          <w:iCs/>
        </w:rPr>
        <w:t xml:space="preserve">occurrence of this condition. </w:t>
      </w:r>
      <w:r w:rsidR="00C41941" w:rsidRPr="00E61652">
        <w:rPr>
          <w:rFonts w:ascii="Times New Roman" w:hAnsi="Times New Roman" w:cs="Times New Roman"/>
          <w:iCs/>
          <w:lang w:val="en-GB"/>
        </w:rPr>
        <w:t xml:space="preserve">Moreover, </w:t>
      </w:r>
      <w:r w:rsidR="006C7AB4" w:rsidRPr="00E61652">
        <w:rPr>
          <w:rFonts w:ascii="Times New Roman" w:hAnsi="Times New Roman" w:cs="Times New Roman"/>
          <w:iCs/>
          <w:lang w:val="en-GB"/>
        </w:rPr>
        <w:t>we recommend drinking a lot of water and eating</w:t>
      </w:r>
      <w:r w:rsidR="00C41941" w:rsidRPr="00E61652">
        <w:rPr>
          <w:rFonts w:ascii="Times New Roman" w:eastAsia="Times New Roman" w:hAnsi="Times New Roman" w:cs="Times New Roman"/>
          <w:lang w:eastAsia="id-ID"/>
        </w:rPr>
        <w:t xml:space="preserve"> fruits, avoid</w:t>
      </w:r>
      <w:proofErr w:type="spellStart"/>
      <w:r w:rsidR="006C7AB4" w:rsidRPr="00E61652">
        <w:rPr>
          <w:rFonts w:ascii="Times New Roman" w:eastAsia="Times New Roman" w:hAnsi="Times New Roman" w:cs="Times New Roman"/>
          <w:lang w:val="en-GB" w:eastAsia="id-ID"/>
        </w:rPr>
        <w:t>ing</w:t>
      </w:r>
      <w:proofErr w:type="spellEnd"/>
      <w:r w:rsidR="00C41941" w:rsidRPr="00E61652">
        <w:rPr>
          <w:rFonts w:ascii="Times New Roman" w:eastAsia="Times New Roman" w:hAnsi="Times New Roman" w:cs="Times New Roman"/>
          <w:lang w:eastAsia="id-ID"/>
        </w:rPr>
        <w:t xml:space="preserve"> stress and </w:t>
      </w:r>
      <w:r w:rsidR="00C41941" w:rsidRPr="00E61652">
        <w:rPr>
          <w:rFonts w:ascii="Times New Roman" w:eastAsia="Times New Roman" w:hAnsi="Times New Roman" w:cs="Times New Roman"/>
          <w:lang w:val="en-US" w:eastAsia="id-ID"/>
        </w:rPr>
        <w:t>do</w:t>
      </w:r>
      <w:r w:rsidR="006C7AB4" w:rsidRPr="00E61652">
        <w:rPr>
          <w:rFonts w:ascii="Times New Roman" w:eastAsia="Times New Roman" w:hAnsi="Times New Roman" w:cs="Times New Roman"/>
          <w:lang w:val="en-US" w:eastAsia="id-ID"/>
        </w:rPr>
        <w:t>ing</w:t>
      </w:r>
      <w:r w:rsidR="00C41941" w:rsidRPr="00E61652">
        <w:rPr>
          <w:rFonts w:ascii="Times New Roman" w:eastAsia="Times New Roman" w:hAnsi="Times New Roman" w:cs="Times New Roman"/>
          <w:lang w:eastAsia="id-ID"/>
        </w:rPr>
        <w:t xml:space="preserve">regular light exercise or perform physical activities. </w:t>
      </w:r>
    </w:p>
    <w:p w:rsidR="00C41941" w:rsidRPr="00E61652" w:rsidRDefault="00C41941" w:rsidP="00C41941">
      <w:pPr>
        <w:autoSpaceDE w:val="0"/>
        <w:autoSpaceDN w:val="0"/>
        <w:adjustRightInd w:val="0"/>
        <w:ind w:firstLine="720"/>
        <w:jc w:val="both"/>
        <w:rPr>
          <w:rFonts w:ascii="Times New Roman" w:hAnsi="Times New Roman" w:cs="Times New Roman"/>
          <w:i/>
          <w:lang w:val="en-GB" w:eastAsia="id-ID"/>
        </w:rPr>
      </w:pPr>
    </w:p>
    <w:p w:rsidR="00C41941" w:rsidRPr="00E61652" w:rsidRDefault="00C41941" w:rsidP="00C41941">
      <w:pPr>
        <w:pStyle w:val="ListParagraph"/>
        <w:spacing w:after="0" w:line="240" w:lineRule="auto"/>
        <w:ind w:left="0"/>
        <w:jc w:val="both"/>
        <w:rPr>
          <w:rFonts w:ascii="Times New Roman" w:hAnsi="Times New Roman"/>
          <w:i/>
          <w:lang w:eastAsia="id-ID"/>
        </w:rPr>
      </w:pPr>
      <w:r w:rsidRPr="00E61652">
        <w:rPr>
          <w:rFonts w:ascii="Times New Roman" w:hAnsi="Times New Roman"/>
          <w:i/>
          <w:lang w:eastAsia="id-ID"/>
        </w:rPr>
        <w:t xml:space="preserve">Keywords: uric acid, </w:t>
      </w:r>
      <w:proofErr w:type="spellStart"/>
      <w:r w:rsidRPr="00E61652">
        <w:rPr>
          <w:rFonts w:ascii="Times New Roman" w:hAnsi="Times New Roman"/>
          <w:i/>
          <w:lang w:eastAsia="id-ID"/>
        </w:rPr>
        <w:t>purin</w:t>
      </w:r>
      <w:proofErr w:type="spellEnd"/>
      <w:r w:rsidRPr="00E61652">
        <w:rPr>
          <w:rFonts w:ascii="Times New Roman" w:hAnsi="Times New Roman"/>
          <w:i/>
          <w:lang w:eastAsia="id-ID"/>
        </w:rPr>
        <w:t xml:space="preserve">, </w:t>
      </w:r>
      <w:r w:rsidRPr="00E61652">
        <w:rPr>
          <w:rFonts w:ascii="Times New Roman" w:hAnsi="Times New Roman"/>
          <w:i/>
          <w:lang w:val="id-ID" w:eastAsia="id-ID"/>
        </w:rPr>
        <w:t>gender</w:t>
      </w:r>
      <w:r w:rsidRPr="00E61652">
        <w:rPr>
          <w:rFonts w:ascii="Times New Roman" w:hAnsi="Times New Roman"/>
          <w:i/>
          <w:lang w:eastAsia="id-ID"/>
        </w:rPr>
        <w:t xml:space="preserve">, </w:t>
      </w:r>
      <w:r w:rsidRPr="00E61652">
        <w:rPr>
          <w:rFonts w:ascii="Times New Roman" w:hAnsi="Times New Roman"/>
          <w:i/>
          <w:lang w:val="id-ID" w:eastAsia="id-ID"/>
        </w:rPr>
        <w:t>knowledge</w:t>
      </w:r>
      <w:r w:rsidRPr="00E61652">
        <w:rPr>
          <w:rFonts w:ascii="Times New Roman" w:hAnsi="Times New Roman"/>
          <w:i/>
          <w:lang w:eastAsia="id-ID"/>
        </w:rPr>
        <w:t>, age,</w:t>
      </w:r>
      <w:r w:rsidRPr="00E61652">
        <w:rPr>
          <w:rFonts w:ascii="Times New Roman" w:hAnsi="Times New Roman"/>
          <w:i/>
          <w:lang w:val="id-ID" w:eastAsia="id-ID"/>
        </w:rPr>
        <w:t xml:space="preserve"> level of education</w:t>
      </w:r>
    </w:p>
    <w:p w:rsidR="00C41941" w:rsidRDefault="00C41941"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Default="00E61652" w:rsidP="00C41941">
      <w:pPr>
        <w:spacing w:line="360" w:lineRule="atLeast"/>
        <w:jc w:val="both"/>
        <w:rPr>
          <w:rFonts w:ascii="Times New Roman" w:eastAsia="Times New Roman" w:hAnsi="Times New Roman" w:cs="Times New Roman"/>
          <w:b/>
          <w:bCs/>
          <w:sz w:val="24"/>
          <w:szCs w:val="24"/>
          <w:lang w:eastAsia="id-ID"/>
        </w:rPr>
      </w:pPr>
    </w:p>
    <w:p w:rsidR="00E61652" w:rsidRPr="00E61652" w:rsidRDefault="00E61652" w:rsidP="00C41941">
      <w:pPr>
        <w:spacing w:line="360" w:lineRule="atLeast"/>
        <w:jc w:val="both"/>
        <w:rPr>
          <w:rFonts w:ascii="Times New Roman" w:eastAsia="Times New Roman" w:hAnsi="Times New Roman" w:cs="Times New Roman"/>
          <w:b/>
          <w:bCs/>
          <w:sz w:val="24"/>
          <w:szCs w:val="24"/>
          <w:lang w:eastAsia="id-ID"/>
        </w:rPr>
      </w:pPr>
    </w:p>
    <w:p w:rsidR="00C41941" w:rsidRPr="00E61652" w:rsidRDefault="00C41941" w:rsidP="00FC760C">
      <w:pPr>
        <w:spacing w:line="360" w:lineRule="auto"/>
        <w:jc w:val="both"/>
        <w:rPr>
          <w:rFonts w:ascii="Times New Roman" w:eastAsia="Times New Roman" w:hAnsi="Times New Roman" w:cs="Times New Roman"/>
          <w:b/>
          <w:sz w:val="27"/>
          <w:szCs w:val="27"/>
          <w:lang w:eastAsia="id-ID"/>
        </w:rPr>
      </w:pPr>
      <w:r w:rsidRPr="00E61652">
        <w:rPr>
          <w:rFonts w:ascii="Times New Roman" w:eastAsia="Times New Roman" w:hAnsi="Times New Roman" w:cs="Times New Roman"/>
          <w:b/>
          <w:bCs/>
          <w:sz w:val="24"/>
          <w:szCs w:val="24"/>
          <w:lang w:eastAsia="id-ID"/>
        </w:rPr>
        <w:lastRenderedPageBreak/>
        <w:t>Introduction</w:t>
      </w:r>
    </w:p>
    <w:p w:rsidR="006C7AB4" w:rsidRPr="00E61652" w:rsidRDefault="00263A78" w:rsidP="00FC760C">
      <w:pPr>
        <w:autoSpaceDE w:val="0"/>
        <w:autoSpaceDN w:val="0"/>
        <w:adjustRightInd w:val="0"/>
        <w:spacing w:line="360" w:lineRule="auto"/>
        <w:ind w:firstLine="720"/>
        <w:jc w:val="both"/>
        <w:rPr>
          <w:rFonts w:ascii="Times New Roman" w:hAnsi="Times New Roman" w:cs="Times New Roman"/>
          <w:sz w:val="24"/>
          <w:szCs w:val="24"/>
          <w:lang w:val="en-GB"/>
        </w:rPr>
      </w:pPr>
      <w:r w:rsidRPr="00E61652">
        <w:rPr>
          <w:rFonts w:ascii="Times New Roman" w:hAnsi="Times New Roman" w:cs="Times New Roman"/>
          <w:sz w:val="24"/>
          <w:szCs w:val="24"/>
          <w:lang w:val="en-GB"/>
        </w:rPr>
        <w:t xml:space="preserve">The increasing frequency of </w:t>
      </w:r>
      <w:proofErr w:type="spellStart"/>
      <w:r w:rsidRPr="00E61652">
        <w:rPr>
          <w:rFonts w:ascii="Times New Roman" w:hAnsi="Times New Roman" w:cs="Times New Roman"/>
          <w:sz w:val="24"/>
          <w:szCs w:val="24"/>
          <w:lang w:val="en-GB"/>
        </w:rPr>
        <w:t>hyperuricemia</w:t>
      </w:r>
      <w:proofErr w:type="spellEnd"/>
      <w:r w:rsidRPr="00E61652">
        <w:rPr>
          <w:rFonts w:ascii="Times New Roman" w:hAnsi="Times New Roman" w:cs="Times New Roman"/>
          <w:sz w:val="24"/>
          <w:szCs w:val="24"/>
          <w:lang w:val="en-GB"/>
        </w:rPr>
        <w:t xml:space="preserve"> and gout are most likely caused by westernized lifestyle and </w:t>
      </w:r>
      <w:proofErr w:type="spellStart"/>
      <w:r w:rsidRPr="00E61652">
        <w:rPr>
          <w:rFonts w:ascii="Times New Roman" w:hAnsi="Times New Roman" w:cs="Times New Roman"/>
          <w:sz w:val="24"/>
          <w:szCs w:val="24"/>
          <w:lang w:val="en-GB"/>
        </w:rPr>
        <w:t>environment.</w:t>
      </w:r>
      <w:r w:rsidR="00022166" w:rsidRPr="00E61652">
        <w:rPr>
          <w:rFonts w:ascii="Times New Roman" w:hAnsi="Times New Roman" w:cs="Times New Roman"/>
          <w:sz w:val="24"/>
          <w:szCs w:val="24"/>
          <w:lang w:val="en-GB"/>
        </w:rPr>
        <w:t>Hyperuricemia</w:t>
      </w:r>
      <w:proofErr w:type="spellEnd"/>
      <w:r w:rsidR="00022166" w:rsidRPr="00E61652">
        <w:rPr>
          <w:rFonts w:ascii="Times New Roman" w:hAnsi="Times New Roman" w:cs="Times New Roman"/>
          <w:sz w:val="24"/>
          <w:szCs w:val="24"/>
          <w:lang w:val="en-GB"/>
        </w:rPr>
        <w:t xml:space="preserve"> often accompanies metabolic syndrome, hypertension, diabetes, </w:t>
      </w:r>
      <w:proofErr w:type="spellStart"/>
      <w:r w:rsidR="00022166" w:rsidRPr="00E61652">
        <w:rPr>
          <w:rFonts w:ascii="Times New Roman" w:hAnsi="Times New Roman" w:cs="Times New Roman"/>
          <w:sz w:val="24"/>
          <w:szCs w:val="24"/>
          <w:lang w:val="en-GB"/>
        </w:rPr>
        <w:t>dyslipidemia</w:t>
      </w:r>
      <w:proofErr w:type="spellEnd"/>
      <w:r w:rsidR="00022166" w:rsidRPr="00E61652">
        <w:rPr>
          <w:rFonts w:ascii="Times New Roman" w:hAnsi="Times New Roman" w:cs="Times New Roman"/>
          <w:sz w:val="24"/>
          <w:szCs w:val="24"/>
          <w:lang w:val="en-GB"/>
        </w:rPr>
        <w:t xml:space="preserve">, chronic renal disease, and obesity, and the serum uric acid level is known to vary significantly depending on meals, lifestyle, gender, and previous use of diuretics. </w:t>
      </w:r>
      <w:r w:rsidR="00022166" w:rsidRPr="00E61652">
        <w:rPr>
          <w:rFonts w:ascii="Times New Roman" w:hAnsi="Times New Roman" w:cs="Times New Roman"/>
          <w:sz w:val="24"/>
          <w:szCs w:val="24"/>
          <w:vertAlign w:val="superscript"/>
          <w:lang w:val="en-GB"/>
        </w:rPr>
        <w:t>1</w:t>
      </w:r>
    </w:p>
    <w:p w:rsidR="00C41941" w:rsidRPr="00E61652" w:rsidRDefault="00C41941" w:rsidP="00FC760C">
      <w:pPr>
        <w:autoSpaceDE w:val="0"/>
        <w:autoSpaceDN w:val="0"/>
        <w:adjustRightInd w:val="0"/>
        <w:spacing w:line="360" w:lineRule="auto"/>
        <w:ind w:firstLine="720"/>
        <w:jc w:val="both"/>
        <w:rPr>
          <w:rFonts w:ascii="Times New Roman" w:eastAsia="Times New Roman" w:hAnsi="Times New Roman" w:cs="Times New Roman"/>
          <w:sz w:val="24"/>
          <w:szCs w:val="24"/>
          <w:vertAlign w:val="superscript"/>
          <w:lang w:val="en-GB" w:eastAsia="id-ID"/>
        </w:rPr>
      </w:pPr>
      <w:r w:rsidRPr="00E61652">
        <w:rPr>
          <w:rFonts w:ascii="Times New Roman" w:eastAsia="Times New Roman" w:hAnsi="Times New Roman" w:cs="Times New Roman"/>
          <w:sz w:val="24"/>
          <w:szCs w:val="24"/>
          <w:lang w:eastAsia="id-ID"/>
        </w:rPr>
        <w:t xml:space="preserve">There are no definitive data regarding the </w:t>
      </w:r>
      <w:r w:rsidRPr="00E61652">
        <w:rPr>
          <w:rFonts w:ascii="Times New Roman" w:eastAsia="Times New Roman" w:hAnsi="Times New Roman" w:cs="Times New Roman"/>
          <w:sz w:val="24"/>
          <w:szCs w:val="24"/>
          <w:lang w:val="en-US" w:eastAsia="id-ID"/>
        </w:rPr>
        <w:t>prevalence of</w:t>
      </w:r>
      <w:r w:rsidRPr="00E61652">
        <w:rPr>
          <w:rFonts w:ascii="Times New Roman" w:eastAsia="Times New Roman" w:hAnsi="Times New Roman" w:cs="Times New Roman"/>
          <w:sz w:val="24"/>
          <w:szCs w:val="24"/>
          <w:lang w:eastAsia="id-ID"/>
        </w:rPr>
        <w:t xml:space="preserve"> hyperuricemia in Indonesian</w:t>
      </w:r>
      <w:r w:rsidRPr="00E61652">
        <w:rPr>
          <w:rFonts w:ascii="Times New Roman" w:eastAsia="Times New Roman" w:hAnsi="Times New Roman" w:cs="Times New Roman"/>
          <w:sz w:val="24"/>
          <w:szCs w:val="24"/>
          <w:lang w:val="en-US" w:eastAsia="id-ID"/>
        </w:rPr>
        <w:t>.</w:t>
      </w:r>
      <w:r w:rsidRPr="00E61652">
        <w:rPr>
          <w:rFonts w:ascii="Times New Roman" w:eastAsia="Times New Roman" w:hAnsi="Times New Roman" w:cs="Times New Roman"/>
          <w:sz w:val="24"/>
          <w:szCs w:val="24"/>
          <w:lang w:eastAsia="id-ID"/>
        </w:rPr>
        <w:t xml:space="preserve"> This is because Indonesia </w:t>
      </w:r>
      <w:r w:rsidRPr="00E61652">
        <w:rPr>
          <w:rFonts w:ascii="Times New Roman" w:eastAsia="Times New Roman" w:hAnsi="Times New Roman" w:cs="Times New Roman"/>
          <w:sz w:val="24"/>
          <w:szCs w:val="24"/>
          <w:lang w:val="en-US" w:eastAsia="id-ID"/>
        </w:rPr>
        <w:t>consists</w:t>
      </w:r>
      <w:r w:rsidRPr="00E61652">
        <w:rPr>
          <w:rFonts w:ascii="Times New Roman" w:eastAsia="Times New Roman" w:hAnsi="Times New Roman" w:cs="Times New Roman"/>
          <w:sz w:val="24"/>
          <w:szCs w:val="24"/>
          <w:lang w:eastAsia="id-ID"/>
        </w:rPr>
        <w:t xml:space="preserve"> of various tribes</w:t>
      </w:r>
      <w:r w:rsidRPr="00E61652">
        <w:rPr>
          <w:rFonts w:ascii="Times New Roman" w:eastAsia="Times New Roman" w:hAnsi="Times New Roman" w:cs="Times New Roman"/>
          <w:sz w:val="24"/>
          <w:szCs w:val="24"/>
          <w:lang w:val="en-US" w:eastAsia="id-ID"/>
        </w:rPr>
        <w:t>; therefore, the prevalence rate was so varied among regions.</w:t>
      </w:r>
      <w:r w:rsidRPr="00E61652">
        <w:rPr>
          <w:rFonts w:ascii="Times New Roman" w:eastAsia="Times New Roman" w:hAnsi="Times New Roman" w:cs="Times New Roman"/>
          <w:sz w:val="24"/>
          <w:szCs w:val="24"/>
          <w:lang w:eastAsia="id-ID"/>
        </w:rPr>
        <w:t xml:space="preserve">The incidence of hyperuricemia </w:t>
      </w:r>
      <w:r w:rsidRPr="00E61652">
        <w:rPr>
          <w:rFonts w:ascii="Times New Roman" w:eastAsia="Times New Roman" w:hAnsi="Times New Roman" w:cs="Times New Roman"/>
          <w:sz w:val="24"/>
          <w:szCs w:val="24"/>
          <w:lang w:val="en-US" w:eastAsia="id-ID"/>
        </w:rPr>
        <w:t xml:space="preserve">is </w:t>
      </w:r>
      <w:r w:rsidRPr="00E61652">
        <w:rPr>
          <w:rFonts w:ascii="Times New Roman" w:eastAsia="Times New Roman" w:hAnsi="Times New Roman" w:cs="Times New Roman"/>
          <w:sz w:val="24"/>
          <w:szCs w:val="24"/>
          <w:lang w:eastAsia="id-ID"/>
        </w:rPr>
        <w:t xml:space="preserve">estimated </w:t>
      </w:r>
      <w:r w:rsidRPr="00E61652">
        <w:rPr>
          <w:rFonts w:ascii="Times New Roman" w:eastAsia="Times New Roman" w:hAnsi="Times New Roman" w:cs="Times New Roman"/>
          <w:sz w:val="24"/>
          <w:szCs w:val="24"/>
          <w:lang w:val="en-US" w:eastAsia="id-ID"/>
        </w:rPr>
        <w:t>around</w:t>
      </w:r>
      <w:r w:rsidRPr="00E61652">
        <w:rPr>
          <w:rFonts w:ascii="Times New Roman" w:eastAsia="Times New Roman" w:hAnsi="Times New Roman" w:cs="Times New Roman"/>
          <w:sz w:val="24"/>
          <w:szCs w:val="24"/>
          <w:lang w:eastAsia="id-ID"/>
        </w:rPr>
        <w:t xml:space="preserve"> 2.3 -17.6</w:t>
      </w:r>
      <w:r w:rsidRPr="00E61652">
        <w:rPr>
          <w:rFonts w:ascii="Times New Roman" w:eastAsia="Times New Roman" w:hAnsi="Times New Roman" w:cs="Times New Roman"/>
          <w:sz w:val="24"/>
          <w:szCs w:val="24"/>
          <w:lang w:val="en-US" w:eastAsia="id-ID"/>
        </w:rPr>
        <w:t>%;</w:t>
      </w:r>
      <w:r w:rsidRPr="00E61652">
        <w:rPr>
          <w:rFonts w:ascii="Times New Roman" w:eastAsia="Times New Roman" w:hAnsi="Times New Roman" w:cs="Times New Roman"/>
          <w:sz w:val="24"/>
          <w:szCs w:val="24"/>
          <w:lang w:eastAsia="id-ID"/>
        </w:rPr>
        <w:t xml:space="preserve"> while</w:t>
      </w:r>
      <w:r w:rsidRPr="00E61652">
        <w:rPr>
          <w:rFonts w:ascii="Times New Roman" w:eastAsia="Times New Roman" w:hAnsi="Times New Roman" w:cs="Times New Roman"/>
          <w:sz w:val="24"/>
          <w:szCs w:val="24"/>
          <w:lang w:val="en-US" w:eastAsia="id-ID"/>
        </w:rPr>
        <w:t>,</w:t>
      </w:r>
      <w:r w:rsidRPr="00E61652">
        <w:rPr>
          <w:rFonts w:ascii="Times New Roman" w:eastAsia="Times New Roman" w:hAnsi="Times New Roman" w:cs="Times New Roman"/>
          <w:sz w:val="24"/>
          <w:szCs w:val="24"/>
          <w:lang w:eastAsia="id-ID"/>
        </w:rPr>
        <w:t xml:space="preserve"> the incidence of gout </w:t>
      </w:r>
      <w:r w:rsidRPr="00E61652">
        <w:rPr>
          <w:rFonts w:ascii="Times New Roman" w:eastAsia="Times New Roman" w:hAnsi="Times New Roman" w:cs="Times New Roman"/>
          <w:sz w:val="24"/>
          <w:szCs w:val="24"/>
          <w:lang w:val="en-US" w:eastAsia="id-ID"/>
        </w:rPr>
        <w:t xml:space="preserve">is </w:t>
      </w:r>
      <w:r w:rsidRPr="00E61652">
        <w:rPr>
          <w:rFonts w:ascii="Times New Roman" w:eastAsia="Times New Roman" w:hAnsi="Times New Roman" w:cs="Times New Roman"/>
          <w:sz w:val="24"/>
          <w:szCs w:val="24"/>
          <w:lang w:eastAsia="id-ID"/>
        </w:rPr>
        <w:t>varie</w:t>
      </w:r>
      <w:r w:rsidRPr="00E61652">
        <w:rPr>
          <w:rFonts w:ascii="Times New Roman" w:eastAsia="Times New Roman" w:hAnsi="Times New Roman" w:cs="Times New Roman"/>
          <w:sz w:val="24"/>
          <w:szCs w:val="24"/>
          <w:lang w:val="en-US" w:eastAsia="id-ID"/>
        </w:rPr>
        <w:t>d</w:t>
      </w:r>
      <w:r w:rsidRPr="00E61652">
        <w:rPr>
          <w:rFonts w:ascii="Times New Roman" w:eastAsia="Times New Roman" w:hAnsi="Times New Roman" w:cs="Times New Roman"/>
          <w:sz w:val="24"/>
          <w:szCs w:val="24"/>
          <w:lang w:eastAsia="id-ID"/>
        </w:rPr>
        <w:t xml:space="preserve"> between 0.16 to 1.36</w:t>
      </w:r>
      <w:r w:rsidRPr="00E61652">
        <w:rPr>
          <w:rFonts w:ascii="Times New Roman" w:eastAsia="Times New Roman" w:hAnsi="Times New Roman" w:cs="Times New Roman"/>
          <w:sz w:val="24"/>
          <w:szCs w:val="24"/>
          <w:lang w:val="en-US" w:eastAsia="id-ID"/>
        </w:rPr>
        <w:t>%</w:t>
      </w:r>
      <w:r w:rsidRPr="00E61652">
        <w:rPr>
          <w:rFonts w:ascii="Times New Roman" w:eastAsia="Times New Roman" w:hAnsi="Times New Roman" w:cs="Times New Roman"/>
          <w:sz w:val="24"/>
          <w:szCs w:val="24"/>
          <w:lang w:eastAsia="id-ID"/>
        </w:rPr>
        <w:t xml:space="preserve">. The results showed that the prevalence of hyperuricemia in Central Java </w:t>
      </w:r>
      <w:r w:rsidRPr="00E61652">
        <w:rPr>
          <w:rFonts w:ascii="Times New Roman" w:eastAsia="Times New Roman" w:hAnsi="Times New Roman" w:cs="Times New Roman"/>
          <w:sz w:val="24"/>
          <w:szCs w:val="24"/>
          <w:lang w:val="en-US" w:eastAsia="id-ID"/>
        </w:rPr>
        <w:t>were</w:t>
      </w:r>
      <w:r w:rsidRPr="00E61652">
        <w:rPr>
          <w:rFonts w:ascii="Times New Roman" w:eastAsia="Times New Roman" w:hAnsi="Times New Roman" w:cs="Times New Roman"/>
          <w:sz w:val="24"/>
          <w:szCs w:val="24"/>
          <w:lang w:eastAsia="id-ID"/>
        </w:rPr>
        <w:t xml:space="preserve"> 24.3</w:t>
      </w:r>
      <w:r w:rsidRPr="00E61652">
        <w:rPr>
          <w:rFonts w:ascii="Times New Roman" w:eastAsia="Times New Roman" w:hAnsi="Times New Roman" w:cs="Times New Roman"/>
          <w:sz w:val="24"/>
          <w:szCs w:val="24"/>
          <w:lang w:val="en-US" w:eastAsia="id-ID"/>
        </w:rPr>
        <w:t>%in</w:t>
      </w:r>
      <w:r w:rsidRPr="00E61652">
        <w:rPr>
          <w:rFonts w:ascii="Times New Roman" w:eastAsia="Times New Roman" w:hAnsi="Times New Roman" w:cs="Times New Roman"/>
          <w:sz w:val="24"/>
          <w:szCs w:val="24"/>
          <w:lang w:eastAsia="id-ID"/>
        </w:rPr>
        <w:t xml:space="preserve"> male and 11.7</w:t>
      </w:r>
      <w:r w:rsidRPr="00E61652">
        <w:rPr>
          <w:rFonts w:ascii="Times New Roman" w:eastAsia="Times New Roman" w:hAnsi="Times New Roman" w:cs="Times New Roman"/>
          <w:sz w:val="24"/>
          <w:szCs w:val="24"/>
          <w:lang w:val="en-US" w:eastAsia="id-ID"/>
        </w:rPr>
        <w:t>%</w:t>
      </w:r>
      <w:r w:rsidRPr="00E61652">
        <w:rPr>
          <w:rFonts w:ascii="Times New Roman" w:eastAsia="Times New Roman" w:hAnsi="Times New Roman" w:cs="Times New Roman"/>
          <w:sz w:val="24"/>
          <w:szCs w:val="24"/>
          <w:lang w:eastAsia="id-ID"/>
        </w:rPr>
        <w:t xml:space="preserve"> female. In US</w:t>
      </w:r>
      <w:r w:rsidRPr="00E61652">
        <w:rPr>
          <w:rFonts w:ascii="Times New Roman" w:eastAsia="Times New Roman" w:hAnsi="Times New Roman" w:cs="Times New Roman"/>
          <w:sz w:val="24"/>
          <w:szCs w:val="24"/>
          <w:lang w:val="en-US" w:eastAsia="id-ID"/>
        </w:rPr>
        <w:t>A,</w:t>
      </w:r>
      <w:r w:rsidRPr="00E61652">
        <w:rPr>
          <w:rFonts w:ascii="Times New Roman" w:eastAsia="Times New Roman" w:hAnsi="Times New Roman" w:cs="Times New Roman"/>
          <w:sz w:val="24"/>
          <w:szCs w:val="24"/>
          <w:lang w:eastAsia="id-ID"/>
        </w:rPr>
        <w:t xml:space="preserve"> the prevalence of asymptomatic hyperuricemia in the general population is approximately 2-13</w:t>
      </w:r>
      <w:r w:rsidRPr="00E61652">
        <w:rPr>
          <w:rFonts w:ascii="Times New Roman" w:eastAsia="Times New Roman" w:hAnsi="Times New Roman" w:cs="Times New Roman"/>
          <w:sz w:val="24"/>
          <w:szCs w:val="24"/>
          <w:lang w:val="en-US" w:eastAsia="id-ID"/>
        </w:rPr>
        <w:t>%</w:t>
      </w:r>
      <w:r w:rsidRPr="00E61652">
        <w:rPr>
          <w:rFonts w:ascii="Times New Roman" w:eastAsia="Times New Roman" w:hAnsi="Times New Roman" w:cs="Times New Roman"/>
          <w:sz w:val="24"/>
          <w:szCs w:val="24"/>
          <w:lang w:eastAsia="id-ID"/>
        </w:rPr>
        <w:t>. </w:t>
      </w:r>
      <w:r w:rsidR="00163329" w:rsidRPr="00E61652">
        <w:rPr>
          <w:rFonts w:ascii="Times New Roman" w:eastAsia="Times New Roman" w:hAnsi="Times New Roman" w:cs="Times New Roman"/>
          <w:sz w:val="24"/>
          <w:szCs w:val="24"/>
          <w:vertAlign w:val="superscript"/>
          <w:lang w:val="en-GB" w:eastAsia="id-ID"/>
        </w:rPr>
        <w:t>2</w:t>
      </w:r>
    </w:p>
    <w:p w:rsidR="00C41941" w:rsidRPr="00E61652" w:rsidRDefault="00C41941" w:rsidP="00FC760C">
      <w:pPr>
        <w:spacing w:line="360" w:lineRule="auto"/>
        <w:ind w:firstLine="720"/>
        <w:jc w:val="both"/>
        <w:rPr>
          <w:rFonts w:ascii="Times New Roman" w:hAnsi="Times New Roman" w:cs="Times New Roman"/>
          <w:sz w:val="24"/>
          <w:szCs w:val="24"/>
          <w:lang w:val="en-GB"/>
        </w:rPr>
      </w:pPr>
      <w:r w:rsidRPr="00E61652">
        <w:rPr>
          <w:rFonts w:ascii="Times New Roman" w:eastAsia="Times New Roman" w:hAnsi="Times New Roman" w:cs="Times New Roman"/>
          <w:sz w:val="24"/>
          <w:szCs w:val="24"/>
          <w:lang w:val="en-US" w:eastAsia="id-ID"/>
        </w:rPr>
        <w:t>H</w:t>
      </w:r>
      <w:r w:rsidRPr="00E61652">
        <w:rPr>
          <w:rFonts w:ascii="Times New Roman" w:eastAsia="Times New Roman" w:hAnsi="Times New Roman" w:cs="Times New Roman"/>
          <w:sz w:val="24"/>
          <w:szCs w:val="24"/>
          <w:lang w:eastAsia="id-ID"/>
        </w:rPr>
        <w:t xml:space="preserve">yperuricemia </w:t>
      </w:r>
      <w:r w:rsidRPr="00E61652">
        <w:rPr>
          <w:rFonts w:ascii="Times New Roman" w:eastAsia="Times New Roman" w:hAnsi="Times New Roman" w:cs="Times New Roman"/>
          <w:sz w:val="24"/>
          <w:szCs w:val="24"/>
          <w:lang w:val="en-US" w:eastAsia="id-ID"/>
        </w:rPr>
        <w:t xml:space="preserve">people </w:t>
      </w:r>
      <w:r w:rsidRPr="00E61652">
        <w:rPr>
          <w:rFonts w:ascii="Times New Roman" w:eastAsia="Times New Roman" w:hAnsi="Times New Roman" w:cs="Times New Roman"/>
          <w:sz w:val="24"/>
          <w:szCs w:val="24"/>
          <w:lang w:eastAsia="id-ID"/>
        </w:rPr>
        <w:t xml:space="preserve">have high level of uric acid in the body. Several people underestimate </w:t>
      </w:r>
      <w:r w:rsidRPr="00E61652">
        <w:rPr>
          <w:rFonts w:ascii="Times New Roman" w:eastAsia="Times New Roman" w:hAnsi="Times New Roman" w:cs="Times New Roman"/>
          <w:sz w:val="24"/>
          <w:szCs w:val="24"/>
          <w:lang w:val="en-US" w:eastAsia="id-ID"/>
        </w:rPr>
        <w:t xml:space="preserve">the </w:t>
      </w:r>
      <w:r w:rsidRPr="00E61652">
        <w:rPr>
          <w:rFonts w:ascii="Times New Roman" w:eastAsia="Times New Roman" w:hAnsi="Times New Roman" w:cs="Times New Roman"/>
          <w:sz w:val="24"/>
          <w:szCs w:val="24"/>
          <w:lang w:eastAsia="id-ID"/>
        </w:rPr>
        <w:t>hyperuricemia</w:t>
      </w:r>
      <w:r w:rsidRPr="00E61652">
        <w:rPr>
          <w:rFonts w:ascii="Times New Roman" w:eastAsia="Times New Roman" w:hAnsi="Times New Roman" w:cs="Times New Roman"/>
          <w:sz w:val="24"/>
          <w:szCs w:val="24"/>
          <w:lang w:val="en-US" w:eastAsia="id-ID"/>
        </w:rPr>
        <w:t xml:space="preserve"> due to the lower burden consequences than </w:t>
      </w:r>
      <w:r w:rsidRPr="00E61652">
        <w:rPr>
          <w:rFonts w:ascii="Times New Roman" w:eastAsia="Times New Roman" w:hAnsi="Times New Roman" w:cs="Times New Roman"/>
          <w:sz w:val="24"/>
          <w:szCs w:val="24"/>
          <w:lang w:eastAsia="id-ID"/>
        </w:rPr>
        <w:t>other diseases</w:t>
      </w:r>
      <w:r w:rsidRPr="00E61652">
        <w:rPr>
          <w:rFonts w:ascii="Times New Roman" w:eastAsia="Times New Roman" w:hAnsi="Times New Roman" w:cs="Times New Roman"/>
          <w:sz w:val="24"/>
          <w:szCs w:val="24"/>
          <w:lang w:val="en-US" w:eastAsia="id-ID"/>
        </w:rPr>
        <w:t>,</w:t>
      </w:r>
      <w:r w:rsidRPr="00E61652">
        <w:rPr>
          <w:rFonts w:ascii="Times New Roman" w:eastAsia="Times New Roman" w:hAnsi="Times New Roman" w:cs="Times New Roman"/>
          <w:sz w:val="24"/>
          <w:szCs w:val="24"/>
          <w:lang w:eastAsia="id-ID"/>
        </w:rPr>
        <w:t xml:space="preserve"> such as heart disease and </w:t>
      </w:r>
      <w:r w:rsidRPr="00E61652">
        <w:rPr>
          <w:rFonts w:ascii="Times New Roman" w:eastAsia="Times New Roman" w:hAnsi="Times New Roman" w:cs="Times New Roman"/>
          <w:sz w:val="24"/>
          <w:szCs w:val="24"/>
          <w:lang w:val="en-US" w:eastAsia="id-ID"/>
        </w:rPr>
        <w:t>stroke</w:t>
      </w:r>
      <w:r w:rsidRPr="00E61652">
        <w:rPr>
          <w:rFonts w:ascii="Times New Roman" w:eastAsia="Times New Roman" w:hAnsi="Times New Roman" w:cs="Times New Roman"/>
          <w:sz w:val="24"/>
          <w:szCs w:val="24"/>
          <w:lang w:eastAsia="id-ID"/>
        </w:rPr>
        <w:t>.</w:t>
      </w:r>
      <w:r w:rsidR="00163329" w:rsidRPr="00E61652">
        <w:rPr>
          <w:rFonts w:ascii="Times New Roman" w:eastAsia="Times New Roman" w:hAnsi="Times New Roman" w:cs="Times New Roman"/>
          <w:sz w:val="24"/>
          <w:szCs w:val="24"/>
          <w:vertAlign w:val="superscript"/>
          <w:lang w:val="en-GB" w:eastAsia="id-ID"/>
        </w:rPr>
        <w:t>3</w:t>
      </w:r>
      <w:r w:rsidRPr="00E61652">
        <w:rPr>
          <w:rFonts w:ascii="Times New Roman" w:hAnsi="Times New Roman" w:cs="Times New Roman"/>
          <w:sz w:val="24"/>
          <w:szCs w:val="24"/>
        </w:rPr>
        <w:t xml:space="preserve">According to previous </w:t>
      </w:r>
      <w:r w:rsidRPr="00E61652">
        <w:rPr>
          <w:rFonts w:ascii="Times New Roman" w:hAnsi="Times New Roman" w:cs="Times New Roman"/>
          <w:sz w:val="24"/>
          <w:szCs w:val="24"/>
          <w:lang w:val="en-US"/>
        </w:rPr>
        <w:t>study</w:t>
      </w:r>
      <w:r w:rsidRPr="00E61652">
        <w:rPr>
          <w:rFonts w:ascii="Times New Roman" w:hAnsi="Times New Roman" w:cs="Times New Roman"/>
          <w:sz w:val="24"/>
          <w:szCs w:val="24"/>
        </w:rPr>
        <w:t>, hyperuricemia is associated with various chronic diseases</w:t>
      </w:r>
      <w:r w:rsidRPr="00E61652">
        <w:rPr>
          <w:rFonts w:ascii="Times New Roman" w:hAnsi="Times New Roman" w:cs="Times New Roman"/>
          <w:sz w:val="24"/>
          <w:szCs w:val="24"/>
          <w:lang w:val="en-US"/>
        </w:rPr>
        <w:t>,</w:t>
      </w:r>
      <w:r w:rsidRPr="00E61652">
        <w:rPr>
          <w:rFonts w:ascii="Times New Roman" w:hAnsi="Times New Roman" w:cs="Times New Roman"/>
          <w:sz w:val="24"/>
          <w:szCs w:val="24"/>
        </w:rPr>
        <w:t xml:space="preserve"> such as arterial hypertension, cardiovascular diseases, obesity, dyslipidemias, diabetes mellitus, metabolic syndrome, gout, and some neoplasms which </w:t>
      </w:r>
      <w:r w:rsidRPr="00E61652">
        <w:rPr>
          <w:rFonts w:ascii="Times New Roman" w:hAnsi="Times New Roman" w:cs="Times New Roman"/>
          <w:sz w:val="24"/>
          <w:szCs w:val="24"/>
          <w:lang w:val="en-US"/>
        </w:rPr>
        <w:t xml:space="preserve">can </w:t>
      </w:r>
      <w:r w:rsidRPr="00E61652">
        <w:rPr>
          <w:rFonts w:ascii="Times New Roman" w:hAnsi="Times New Roman" w:cs="Times New Roman"/>
          <w:sz w:val="24"/>
          <w:szCs w:val="24"/>
        </w:rPr>
        <w:t>increase the risk of death</w:t>
      </w:r>
      <w:r w:rsidRPr="00E61652">
        <w:rPr>
          <w:rFonts w:ascii="Times New Roman" w:hAnsi="Times New Roman" w:cs="Times New Roman"/>
          <w:sz w:val="24"/>
          <w:szCs w:val="24"/>
          <w:lang w:val="en-US"/>
        </w:rPr>
        <w:t>.</w:t>
      </w:r>
      <w:r w:rsidRPr="00E61652">
        <w:rPr>
          <w:rFonts w:ascii="Times New Roman" w:hAnsi="Times New Roman" w:cs="Times New Roman"/>
          <w:sz w:val="24"/>
          <w:szCs w:val="24"/>
        </w:rPr>
        <w:t xml:space="preserve"> Gout is a rheumatic disease characterized by the deposit of sodium monourate in the joints and periarticular tissues, and </w:t>
      </w:r>
      <w:r w:rsidRPr="00E61652">
        <w:rPr>
          <w:rFonts w:ascii="Times New Roman" w:hAnsi="Times New Roman" w:cs="Times New Roman"/>
          <w:sz w:val="24"/>
          <w:szCs w:val="24"/>
          <w:lang w:val="en-US"/>
        </w:rPr>
        <w:t xml:space="preserve">it </w:t>
      </w:r>
      <w:r w:rsidRPr="00E61652">
        <w:rPr>
          <w:rFonts w:ascii="Times New Roman" w:hAnsi="Times New Roman" w:cs="Times New Roman"/>
          <w:sz w:val="24"/>
          <w:szCs w:val="24"/>
        </w:rPr>
        <w:t>is one of the main diseases resulting from hyperuricemia. Individuals with gout</w:t>
      </w:r>
      <w:r w:rsidRPr="00E61652">
        <w:rPr>
          <w:rFonts w:ascii="Times New Roman" w:hAnsi="Times New Roman" w:cs="Times New Roman"/>
          <w:sz w:val="24"/>
          <w:szCs w:val="24"/>
          <w:lang w:val="en-US"/>
        </w:rPr>
        <w:t xml:space="preserve"> disease</w:t>
      </w:r>
      <w:r w:rsidRPr="00E61652">
        <w:rPr>
          <w:rFonts w:ascii="Times New Roman" w:hAnsi="Times New Roman" w:cs="Times New Roman"/>
          <w:sz w:val="24"/>
          <w:szCs w:val="24"/>
        </w:rPr>
        <w:t xml:space="preserve"> have low quality of life resulting from activity-limiting symptoms</w:t>
      </w:r>
      <w:r w:rsidRPr="00E61652">
        <w:rPr>
          <w:rFonts w:ascii="Times New Roman" w:hAnsi="Times New Roman" w:cs="Times New Roman"/>
          <w:sz w:val="24"/>
          <w:szCs w:val="24"/>
          <w:lang w:val="en-US"/>
        </w:rPr>
        <w:t>,namely</w:t>
      </w:r>
      <w:r w:rsidRPr="00E61652">
        <w:rPr>
          <w:rFonts w:ascii="Times New Roman" w:hAnsi="Times New Roman" w:cs="Times New Roman"/>
          <w:sz w:val="24"/>
          <w:szCs w:val="24"/>
        </w:rPr>
        <w:t xml:space="preserve"> intense pain and inflammation of the affected joints. </w:t>
      </w:r>
      <w:r w:rsidR="00163329" w:rsidRPr="00E61652">
        <w:rPr>
          <w:rFonts w:ascii="Times New Roman" w:hAnsi="Times New Roman" w:cs="Times New Roman"/>
          <w:sz w:val="24"/>
          <w:szCs w:val="24"/>
          <w:vertAlign w:val="superscript"/>
          <w:lang w:val="en-GB"/>
        </w:rPr>
        <w:t>4</w:t>
      </w:r>
    </w:p>
    <w:p w:rsidR="00C41941" w:rsidRPr="00E61652" w:rsidRDefault="00824756" w:rsidP="00FC760C">
      <w:pPr>
        <w:autoSpaceDE w:val="0"/>
        <w:autoSpaceDN w:val="0"/>
        <w:adjustRightInd w:val="0"/>
        <w:spacing w:line="360" w:lineRule="auto"/>
        <w:ind w:firstLine="720"/>
        <w:jc w:val="both"/>
        <w:rPr>
          <w:rFonts w:ascii="Times New Roman" w:eastAsia="Times New Roman" w:hAnsi="Times New Roman" w:cs="Times New Roman"/>
          <w:lang w:val="en-GB" w:eastAsia="id-ID"/>
        </w:rPr>
      </w:pPr>
      <w:r w:rsidRPr="00E61652">
        <w:rPr>
          <w:rFonts w:ascii="Times New Roman" w:hAnsi="Times New Roman" w:cs="Times New Roman"/>
          <w:sz w:val="24"/>
          <w:szCs w:val="24"/>
        </w:rPr>
        <w:t xml:space="preserve">Uric acid is a final metabolite of purine metabolism in humans. Although many mammals such as rats have uricase, an enzyme that degrades uric acid into allantoin, humans lost uricase during the course of evolution. As a result, uric acid tends to accumulate. </w:t>
      </w:r>
      <w:r w:rsidR="00C41941" w:rsidRPr="00E61652">
        <w:rPr>
          <w:rFonts w:ascii="Times New Roman" w:eastAsia="Times New Roman" w:hAnsi="Times New Roman" w:cs="Times New Roman"/>
          <w:sz w:val="24"/>
          <w:szCs w:val="24"/>
          <w:lang w:eastAsia="id-ID"/>
        </w:rPr>
        <w:t>Naturally, there purines in the body and</w:t>
      </w:r>
      <w:r w:rsidR="00C41941" w:rsidRPr="00E61652">
        <w:rPr>
          <w:rFonts w:ascii="Times New Roman" w:eastAsia="Times New Roman" w:hAnsi="Times New Roman" w:cs="Times New Roman"/>
          <w:sz w:val="24"/>
          <w:szCs w:val="24"/>
          <w:lang w:val="en-US" w:eastAsia="id-ID"/>
        </w:rPr>
        <w:t xml:space="preserve"> the </w:t>
      </w:r>
      <w:proofErr w:type="spellStart"/>
      <w:r w:rsidR="00C41941" w:rsidRPr="00E61652">
        <w:rPr>
          <w:rFonts w:ascii="Times New Roman" w:eastAsia="Times New Roman" w:hAnsi="Times New Roman" w:cs="Times New Roman"/>
          <w:sz w:val="24"/>
          <w:szCs w:val="24"/>
          <w:lang w:val="en-US" w:eastAsia="id-ID"/>
        </w:rPr>
        <w:t>purine</w:t>
      </w:r>
      <w:proofErr w:type="spellEnd"/>
      <w:r w:rsidR="00C41941" w:rsidRPr="00E61652">
        <w:rPr>
          <w:rFonts w:ascii="Times New Roman" w:eastAsia="Times New Roman" w:hAnsi="Times New Roman" w:cs="Times New Roman"/>
          <w:sz w:val="24"/>
          <w:szCs w:val="24"/>
          <w:lang w:val="en-US" w:eastAsia="id-ID"/>
        </w:rPr>
        <w:t xml:space="preserve"> can be</w:t>
      </w:r>
      <w:r w:rsidR="00C41941" w:rsidRPr="00E61652">
        <w:rPr>
          <w:rFonts w:ascii="Times New Roman" w:eastAsia="Times New Roman" w:hAnsi="Times New Roman" w:cs="Times New Roman"/>
          <w:sz w:val="24"/>
          <w:szCs w:val="24"/>
          <w:lang w:eastAsia="id-ID"/>
        </w:rPr>
        <w:t xml:space="preserve"> found in all </w:t>
      </w:r>
      <w:r w:rsidR="00C41941" w:rsidRPr="00E61652">
        <w:rPr>
          <w:rFonts w:ascii="Times New Roman" w:eastAsia="Times New Roman" w:hAnsi="Times New Roman" w:cs="Times New Roman"/>
          <w:sz w:val="24"/>
          <w:szCs w:val="24"/>
          <w:lang w:val="en-US" w:eastAsia="id-ID"/>
        </w:rPr>
        <w:t xml:space="preserve">forms of </w:t>
      </w:r>
      <w:r w:rsidR="00C41941" w:rsidRPr="00E61652">
        <w:rPr>
          <w:rFonts w:ascii="Times New Roman" w:eastAsia="Times New Roman" w:hAnsi="Times New Roman" w:cs="Times New Roman"/>
          <w:sz w:val="24"/>
          <w:szCs w:val="24"/>
          <w:lang w:eastAsia="id-ID"/>
        </w:rPr>
        <w:t xml:space="preserve">food from living cells, </w:t>
      </w:r>
      <w:r w:rsidR="00C41941" w:rsidRPr="00E61652">
        <w:rPr>
          <w:rFonts w:ascii="Times New Roman" w:eastAsia="Times New Roman" w:hAnsi="Times New Roman" w:cs="Times New Roman"/>
          <w:sz w:val="24"/>
          <w:szCs w:val="24"/>
          <w:lang w:val="en-US" w:eastAsia="id-ID"/>
        </w:rPr>
        <w:t>for example</w:t>
      </w:r>
      <w:r w:rsidR="00C41941" w:rsidRPr="00E61652">
        <w:rPr>
          <w:rFonts w:ascii="Times New Roman" w:eastAsia="Times New Roman" w:hAnsi="Times New Roman" w:cs="Times New Roman"/>
          <w:sz w:val="24"/>
          <w:szCs w:val="24"/>
          <w:lang w:eastAsia="id-ID"/>
        </w:rPr>
        <w:t xml:space="preserve"> plant (vegetables, fruits, nuts) or animal </w:t>
      </w:r>
      <w:r w:rsidR="00C41941" w:rsidRPr="00E61652">
        <w:rPr>
          <w:rFonts w:ascii="Times New Roman" w:eastAsia="Times New Roman" w:hAnsi="Times New Roman" w:cs="Times New Roman"/>
          <w:sz w:val="24"/>
          <w:szCs w:val="24"/>
          <w:lang w:val="en-US" w:eastAsia="id-ID"/>
        </w:rPr>
        <w:t xml:space="preserve">sources </w:t>
      </w:r>
      <w:r w:rsidR="00C41941" w:rsidRPr="00E61652">
        <w:rPr>
          <w:rFonts w:ascii="Times New Roman" w:eastAsia="Times New Roman" w:hAnsi="Times New Roman" w:cs="Times New Roman"/>
          <w:sz w:val="24"/>
          <w:szCs w:val="24"/>
          <w:lang w:eastAsia="id-ID"/>
        </w:rPr>
        <w:t>(meat, offal, sardines).</w:t>
      </w:r>
      <w:r w:rsidRPr="00E61652">
        <w:rPr>
          <w:rFonts w:ascii="Times New Roman" w:eastAsia="Times New Roman" w:hAnsi="Times New Roman" w:cs="Times New Roman"/>
          <w:sz w:val="24"/>
          <w:szCs w:val="24"/>
          <w:vertAlign w:val="superscript"/>
          <w:lang w:val="en-GB" w:eastAsia="id-ID"/>
        </w:rPr>
        <w:t>1,</w:t>
      </w:r>
      <w:r w:rsidR="00163329" w:rsidRPr="00E61652">
        <w:rPr>
          <w:rFonts w:ascii="Times New Roman" w:eastAsia="Times New Roman" w:hAnsi="Times New Roman" w:cs="Times New Roman"/>
          <w:sz w:val="24"/>
          <w:szCs w:val="24"/>
          <w:vertAlign w:val="superscript"/>
          <w:lang w:val="en-GB" w:eastAsia="id-ID"/>
        </w:rPr>
        <w:t>5</w:t>
      </w:r>
    </w:p>
    <w:p w:rsidR="00C41941" w:rsidRPr="00E61652" w:rsidRDefault="00C41941" w:rsidP="00FC760C">
      <w:pPr>
        <w:spacing w:line="360" w:lineRule="auto"/>
        <w:ind w:firstLine="720"/>
        <w:jc w:val="both"/>
        <w:rPr>
          <w:rFonts w:ascii="Times New Roman" w:eastAsia="Times New Roman" w:hAnsi="Times New Roman" w:cs="Times New Roman"/>
          <w:lang w:val="en-GB" w:eastAsia="id-ID"/>
        </w:rPr>
      </w:pPr>
      <w:r w:rsidRPr="00E61652">
        <w:rPr>
          <w:rFonts w:ascii="Times New Roman" w:eastAsia="Times New Roman" w:hAnsi="Times New Roman" w:cs="Times New Roman"/>
          <w:sz w:val="24"/>
          <w:szCs w:val="24"/>
          <w:lang w:eastAsia="id-ID"/>
        </w:rPr>
        <w:t>In general, more men ha</w:t>
      </w:r>
      <w:proofErr w:type="spellStart"/>
      <w:r w:rsidRPr="00E61652">
        <w:rPr>
          <w:rFonts w:ascii="Times New Roman" w:eastAsia="Times New Roman" w:hAnsi="Times New Roman" w:cs="Times New Roman"/>
          <w:sz w:val="24"/>
          <w:szCs w:val="24"/>
          <w:lang w:val="en-US" w:eastAsia="id-ID"/>
        </w:rPr>
        <w:t>ve</w:t>
      </w:r>
      <w:proofErr w:type="spellEnd"/>
      <w:r w:rsidRPr="00E61652">
        <w:rPr>
          <w:rFonts w:ascii="Times New Roman" w:eastAsia="Times New Roman" w:hAnsi="Times New Roman" w:cs="Times New Roman"/>
          <w:sz w:val="24"/>
          <w:szCs w:val="24"/>
          <w:lang w:eastAsia="id-ID"/>
        </w:rPr>
        <w:t xml:space="preserve"> higher level uric acid</w:t>
      </w:r>
      <w:r w:rsidRPr="00E61652">
        <w:rPr>
          <w:rFonts w:ascii="Times New Roman" w:eastAsia="Times New Roman" w:hAnsi="Times New Roman" w:cs="Times New Roman"/>
          <w:sz w:val="24"/>
          <w:szCs w:val="24"/>
          <w:lang w:val="en-US" w:eastAsia="id-ID"/>
        </w:rPr>
        <w:t xml:space="preserve"> and it increases appropriate to the increasing age.</w:t>
      </w:r>
      <w:r w:rsidRPr="00E61652">
        <w:rPr>
          <w:rFonts w:ascii="Times New Roman" w:eastAsia="Times New Roman" w:hAnsi="Times New Roman" w:cs="Times New Roman"/>
          <w:lang w:eastAsia="id-ID"/>
        </w:rPr>
        <w:t> </w:t>
      </w:r>
      <w:r w:rsidRPr="00E61652">
        <w:rPr>
          <w:rFonts w:ascii="Times New Roman" w:eastAsia="Times New Roman" w:hAnsi="Times New Roman" w:cs="Times New Roman"/>
          <w:sz w:val="24"/>
          <w:szCs w:val="24"/>
          <w:lang w:eastAsia="id-ID"/>
        </w:rPr>
        <w:t>While</w:t>
      </w:r>
      <w:r w:rsidRPr="00E61652">
        <w:rPr>
          <w:rFonts w:ascii="Times New Roman" w:eastAsia="Times New Roman" w:hAnsi="Times New Roman" w:cs="Times New Roman"/>
          <w:sz w:val="24"/>
          <w:szCs w:val="24"/>
          <w:lang w:val="en-US" w:eastAsia="id-ID"/>
        </w:rPr>
        <w:t xml:space="preserve">,women a little bit less to suffer from </w:t>
      </w:r>
      <w:proofErr w:type="spellStart"/>
      <w:r w:rsidRPr="00E61652">
        <w:rPr>
          <w:rFonts w:ascii="Times New Roman" w:eastAsia="Times New Roman" w:hAnsi="Times New Roman" w:cs="Times New Roman"/>
          <w:sz w:val="24"/>
          <w:szCs w:val="24"/>
          <w:lang w:val="en-US" w:eastAsia="id-ID"/>
        </w:rPr>
        <w:t>hyperuricemia</w:t>
      </w:r>
      <w:proofErr w:type="spellEnd"/>
      <w:r w:rsidRPr="00E61652">
        <w:rPr>
          <w:rFonts w:ascii="Times New Roman" w:eastAsia="Times New Roman" w:hAnsi="Times New Roman" w:cs="Times New Roman"/>
          <w:sz w:val="24"/>
          <w:szCs w:val="24"/>
          <w:lang w:val="en-US" w:eastAsia="id-ID"/>
        </w:rPr>
        <w:t xml:space="preserve"> due to the estrogen protective hormone. Estrogen helps the body to remove uric acid through </w:t>
      </w:r>
      <w:r w:rsidRPr="00E61652">
        <w:rPr>
          <w:rFonts w:ascii="Times New Roman" w:eastAsia="Times New Roman" w:hAnsi="Times New Roman" w:cs="Times New Roman"/>
          <w:sz w:val="24"/>
          <w:szCs w:val="24"/>
          <w:lang w:val="en-US" w:eastAsia="id-ID"/>
        </w:rPr>
        <w:lastRenderedPageBreak/>
        <w:t>urine.</w:t>
      </w:r>
      <w:r w:rsidRPr="00E61652">
        <w:rPr>
          <w:rFonts w:ascii="Times New Roman" w:eastAsia="Times New Roman" w:hAnsi="Times New Roman" w:cs="Times New Roman"/>
          <w:sz w:val="24"/>
          <w:szCs w:val="24"/>
          <w:lang w:eastAsia="id-ID"/>
        </w:rPr>
        <w:t>While in men, uric acid tend</w:t>
      </w:r>
      <w:r w:rsidRPr="00E61652">
        <w:rPr>
          <w:rFonts w:ascii="Times New Roman" w:eastAsia="Times New Roman" w:hAnsi="Times New Roman" w:cs="Times New Roman"/>
          <w:sz w:val="24"/>
          <w:szCs w:val="24"/>
          <w:lang w:val="en-US" w:eastAsia="id-ID"/>
        </w:rPr>
        <w:t>s</w:t>
      </w:r>
      <w:r w:rsidRPr="00E61652">
        <w:rPr>
          <w:rFonts w:ascii="Times New Roman" w:eastAsia="Times New Roman" w:hAnsi="Times New Roman" w:cs="Times New Roman"/>
          <w:sz w:val="24"/>
          <w:szCs w:val="24"/>
          <w:lang w:eastAsia="id-ID"/>
        </w:rPr>
        <w:t xml:space="preserve"> to be higher than women because they do not have estrogen.</w:t>
      </w:r>
      <w:r w:rsidRPr="00E61652">
        <w:rPr>
          <w:rFonts w:ascii="Times New Roman" w:eastAsia="Times New Roman" w:hAnsi="Times New Roman" w:cs="Times New Roman"/>
          <w:lang w:eastAsia="id-ID"/>
        </w:rPr>
        <w:t> </w:t>
      </w:r>
      <w:r w:rsidRPr="00E61652">
        <w:rPr>
          <w:rFonts w:ascii="Times New Roman" w:eastAsia="Times New Roman" w:hAnsi="Times New Roman" w:cs="Times New Roman"/>
          <w:sz w:val="24"/>
          <w:szCs w:val="24"/>
          <w:lang w:eastAsia="id-ID"/>
        </w:rPr>
        <w:t>Normal levels of uric acid in serum: women: 2.4 - 6 mg / dL, Men: 3.0 - 7 mg / dL of clinical experience, usually without symptoms: &lt;5 mg / dL.</w:t>
      </w:r>
      <w:r w:rsidR="00163329" w:rsidRPr="00E61652">
        <w:rPr>
          <w:rFonts w:ascii="Times New Roman" w:eastAsia="Times New Roman" w:hAnsi="Times New Roman" w:cs="Times New Roman"/>
          <w:sz w:val="24"/>
          <w:szCs w:val="24"/>
          <w:vertAlign w:val="superscript"/>
          <w:lang w:val="en-GB" w:eastAsia="id-ID"/>
        </w:rPr>
        <w:t>6</w:t>
      </w:r>
    </w:p>
    <w:p w:rsidR="00FC4504" w:rsidRPr="00E61652" w:rsidRDefault="00C41941" w:rsidP="00FC760C">
      <w:pPr>
        <w:spacing w:line="360" w:lineRule="auto"/>
        <w:jc w:val="both"/>
        <w:rPr>
          <w:rFonts w:ascii="Times New Roman" w:hAnsi="Times New Roman" w:cs="Times New Roman"/>
          <w:sz w:val="24"/>
          <w:szCs w:val="24"/>
          <w:lang w:val="en-GB"/>
        </w:rPr>
      </w:pPr>
      <w:r w:rsidRPr="00E61652">
        <w:rPr>
          <w:rFonts w:ascii="Times New Roman" w:eastAsia="Times New Roman" w:hAnsi="Times New Roman" w:cs="Times New Roman"/>
          <w:bCs/>
          <w:sz w:val="24"/>
          <w:szCs w:val="24"/>
          <w:lang w:val="en-GB" w:eastAsia="id-ID"/>
        </w:rPr>
        <w:tab/>
      </w:r>
      <w:r w:rsidRPr="00E61652">
        <w:rPr>
          <w:rFonts w:ascii="Times New Roman" w:hAnsi="Times New Roman" w:cs="Times New Roman"/>
          <w:sz w:val="24"/>
          <w:szCs w:val="24"/>
        </w:rPr>
        <w:t>Hyperuricemia, usually defined as a serum urate (SU) level &gt;7 mg/dL, may be present in up to 18% of some populations.</w:t>
      </w:r>
      <w:r w:rsidR="00163329" w:rsidRPr="00E61652">
        <w:rPr>
          <w:rFonts w:ascii="Times New Roman" w:hAnsi="Times New Roman" w:cs="Times New Roman"/>
          <w:sz w:val="24"/>
          <w:szCs w:val="24"/>
          <w:vertAlign w:val="superscript"/>
          <w:lang w:val="en-GB"/>
        </w:rPr>
        <w:t>7</w:t>
      </w:r>
      <w:r w:rsidRPr="00E61652">
        <w:rPr>
          <w:rFonts w:ascii="Times New Roman" w:hAnsi="Times New Roman" w:cs="Times New Roman"/>
          <w:sz w:val="24"/>
          <w:szCs w:val="24"/>
        </w:rPr>
        <w:t xml:space="preserve">Hyperuricemia can be caused by overproduction of urate, or, far more commonly, by inefficient excretion by the kidney. </w:t>
      </w:r>
      <w:r w:rsidRPr="00E61652">
        <w:rPr>
          <w:rFonts w:ascii="Times New Roman" w:hAnsi="Times New Roman" w:cs="Times New Roman"/>
          <w:sz w:val="24"/>
          <w:szCs w:val="24"/>
          <w:lang w:val="en-US"/>
        </w:rPr>
        <w:t xml:space="preserve">The level of </w:t>
      </w:r>
      <w:r w:rsidRPr="00E61652">
        <w:rPr>
          <w:rFonts w:ascii="Times New Roman" w:hAnsi="Times New Roman" w:cs="Times New Roman"/>
          <w:sz w:val="24"/>
          <w:szCs w:val="24"/>
        </w:rPr>
        <w:t>SU may also increase with aging and weight gain.</w:t>
      </w:r>
      <w:r w:rsidR="00163329" w:rsidRPr="00E61652">
        <w:rPr>
          <w:rFonts w:ascii="Times New Roman" w:hAnsi="Times New Roman" w:cs="Times New Roman"/>
          <w:sz w:val="24"/>
          <w:szCs w:val="24"/>
          <w:vertAlign w:val="superscript"/>
          <w:lang w:val="en-GB"/>
        </w:rPr>
        <w:t>8</w:t>
      </w:r>
      <w:r w:rsidRPr="00E61652">
        <w:rPr>
          <w:rFonts w:ascii="Times New Roman" w:hAnsi="Times New Roman" w:cs="Times New Roman"/>
          <w:sz w:val="24"/>
          <w:szCs w:val="24"/>
          <w:vertAlign w:val="superscript"/>
        </w:rPr>
        <w:t>-</w:t>
      </w:r>
      <w:r w:rsidR="00163329" w:rsidRPr="00E61652">
        <w:rPr>
          <w:rFonts w:ascii="Times New Roman" w:hAnsi="Times New Roman" w:cs="Times New Roman"/>
          <w:sz w:val="24"/>
          <w:szCs w:val="24"/>
          <w:vertAlign w:val="superscript"/>
          <w:lang w:val="en-GB"/>
        </w:rPr>
        <w:t>10</w:t>
      </w:r>
      <w:r w:rsidRPr="00E61652">
        <w:rPr>
          <w:rFonts w:ascii="Times New Roman" w:hAnsi="Times New Roman" w:cs="Times New Roman"/>
          <w:sz w:val="24"/>
          <w:szCs w:val="24"/>
        </w:rPr>
        <w:t xml:space="preserve"> At least two third of patients with hyperuricemia can be expected to remain asymptomatic, and current evidence does not support treating asymptomatic hyperuricemia.</w:t>
      </w:r>
      <w:r w:rsidR="00163329" w:rsidRPr="00E61652">
        <w:rPr>
          <w:rFonts w:ascii="Times New Roman" w:hAnsi="Times New Roman" w:cs="Times New Roman"/>
          <w:sz w:val="24"/>
          <w:szCs w:val="24"/>
          <w:vertAlign w:val="superscript"/>
          <w:lang w:val="en-GB"/>
        </w:rPr>
        <w:t>11-15</w:t>
      </w:r>
    </w:p>
    <w:p w:rsidR="00C41941" w:rsidRPr="00E61652" w:rsidRDefault="00FC4504" w:rsidP="00FC760C">
      <w:pPr>
        <w:autoSpaceDE w:val="0"/>
        <w:autoSpaceDN w:val="0"/>
        <w:adjustRightInd w:val="0"/>
        <w:spacing w:line="360" w:lineRule="auto"/>
        <w:ind w:firstLine="720"/>
        <w:jc w:val="both"/>
        <w:rPr>
          <w:rFonts w:ascii="Times New Roman" w:hAnsi="Times New Roman" w:cs="Times New Roman"/>
          <w:sz w:val="24"/>
          <w:szCs w:val="24"/>
          <w:lang w:val="en-GB"/>
        </w:rPr>
      </w:pPr>
      <w:proofErr w:type="spellStart"/>
      <w:r w:rsidRPr="00E61652">
        <w:rPr>
          <w:rFonts w:ascii="Times New Roman" w:hAnsi="Times New Roman" w:cs="Times New Roman"/>
          <w:sz w:val="24"/>
          <w:szCs w:val="24"/>
          <w:lang w:val="en-GB"/>
        </w:rPr>
        <w:t>Depok</w:t>
      </w:r>
      <w:proofErr w:type="spellEnd"/>
      <w:r w:rsidRPr="00E61652">
        <w:rPr>
          <w:rFonts w:ascii="Times New Roman" w:hAnsi="Times New Roman" w:cs="Times New Roman"/>
          <w:sz w:val="24"/>
          <w:szCs w:val="24"/>
          <w:lang w:val="en-GB"/>
        </w:rPr>
        <w:t xml:space="preserve"> City is one of the main city in Central Java which growing rapidly. This situation could influence the </w:t>
      </w:r>
      <w:proofErr w:type="spellStart"/>
      <w:r w:rsidRPr="00E61652">
        <w:rPr>
          <w:rFonts w:ascii="Times New Roman" w:hAnsi="Times New Roman" w:cs="Times New Roman"/>
          <w:sz w:val="24"/>
          <w:szCs w:val="24"/>
          <w:lang w:val="en-GB"/>
        </w:rPr>
        <w:t>environtment</w:t>
      </w:r>
      <w:proofErr w:type="spellEnd"/>
      <w:r w:rsidRPr="00E61652">
        <w:rPr>
          <w:rFonts w:ascii="Times New Roman" w:hAnsi="Times New Roman" w:cs="Times New Roman"/>
          <w:sz w:val="24"/>
          <w:szCs w:val="24"/>
          <w:lang w:val="en-GB"/>
        </w:rPr>
        <w:t xml:space="preserve"> and the lifestyle. Based on study in </w:t>
      </w:r>
      <w:proofErr w:type="spellStart"/>
      <w:r w:rsidRPr="00E61652">
        <w:rPr>
          <w:rFonts w:ascii="Times New Roman" w:hAnsi="Times New Roman" w:cs="Times New Roman"/>
          <w:sz w:val="24"/>
          <w:szCs w:val="24"/>
          <w:lang w:val="en-GB"/>
        </w:rPr>
        <w:t>Depok</w:t>
      </w:r>
      <w:proofErr w:type="spellEnd"/>
      <w:r w:rsidRPr="00E61652">
        <w:rPr>
          <w:rFonts w:ascii="Times New Roman" w:hAnsi="Times New Roman" w:cs="Times New Roman"/>
          <w:sz w:val="24"/>
          <w:szCs w:val="24"/>
          <w:lang w:val="en-GB"/>
        </w:rPr>
        <w:t xml:space="preserve"> City, there is an increasing of adult lifestyle-associated disease. </w:t>
      </w:r>
      <w:r w:rsidR="003A279B" w:rsidRPr="00E61652">
        <w:rPr>
          <w:rFonts w:ascii="Times New Roman" w:hAnsi="Times New Roman" w:cs="Times New Roman"/>
          <w:sz w:val="24"/>
          <w:szCs w:val="24"/>
          <w:lang w:val="en-GB"/>
        </w:rPr>
        <w:t xml:space="preserve">There is a strong association between insulin </w:t>
      </w:r>
      <w:proofErr w:type="spellStart"/>
      <w:r w:rsidR="003A279B" w:rsidRPr="00E61652">
        <w:rPr>
          <w:rFonts w:ascii="Times New Roman" w:hAnsi="Times New Roman" w:cs="Times New Roman"/>
          <w:sz w:val="24"/>
          <w:szCs w:val="24"/>
          <w:lang w:val="en-GB"/>
        </w:rPr>
        <w:t>resistanceand</w:t>
      </w:r>
      <w:proofErr w:type="spellEnd"/>
      <w:r w:rsidR="003A279B" w:rsidRPr="00E61652">
        <w:rPr>
          <w:rFonts w:ascii="Times New Roman" w:hAnsi="Times New Roman" w:cs="Times New Roman"/>
          <w:sz w:val="24"/>
          <w:szCs w:val="24"/>
          <w:lang w:val="en-GB"/>
        </w:rPr>
        <w:t xml:space="preserve"> </w:t>
      </w:r>
      <w:proofErr w:type="spellStart"/>
      <w:r w:rsidR="003A279B" w:rsidRPr="00E61652">
        <w:rPr>
          <w:rFonts w:ascii="Times New Roman" w:hAnsi="Times New Roman" w:cs="Times New Roman"/>
          <w:sz w:val="24"/>
          <w:szCs w:val="24"/>
          <w:lang w:val="en-GB"/>
        </w:rPr>
        <w:t>hyperuricemia</w:t>
      </w:r>
      <w:proofErr w:type="spellEnd"/>
      <w:r w:rsidR="003A279B" w:rsidRPr="00E61652">
        <w:rPr>
          <w:rFonts w:ascii="Times New Roman" w:hAnsi="Times New Roman" w:cs="Times New Roman"/>
          <w:sz w:val="24"/>
          <w:szCs w:val="24"/>
          <w:lang w:val="en-GB"/>
        </w:rPr>
        <w:t xml:space="preserve"> and the metabolic syndrome</w:t>
      </w:r>
      <w:r w:rsidR="00E25A68" w:rsidRPr="00E61652">
        <w:rPr>
          <w:rFonts w:ascii="Times New Roman" w:hAnsi="Times New Roman" w:cs="Times New Roman"/>
          <w:sz w:val="24"/>
          <w:szCs w:val="24"/>
          <w:lang w:val="en-GB"/>
        </w:rPr>
        <w:t xml:space="preserve">. </w:t>
      </w:r>
      <w:r w:rsidRPr="00E61652">
        <w:rPr>
          <w:rFonts w:ascii="Times New Roman" w:hAnsi="Times New Roman" w:cs="Times New Roman"/>
          <w:sz w:val="24"/>
          <w:szCs w:val="24"/>
          <w:lang w:val="en-GB"/>
        </w:rPr>
        <w:t xml:space="preserve">Previous study showed the prevalence of metabolic </w:t>
      </w:r>
      <w:proofErr w:type="spellStart"/>
      <w:r w:rsidRPr="00E61652">
        <w:rPr>
          <w:rFonts w:ascii="Times New Roman" w:hAnsi="Times New Roman" w:cs="Times New Roman"/>
          <w:sz w:val="24"/>
          <w:szCs w:val="24"/>
          <w:lang w:val="en-GB"/>
        </w:rPr>
        <w:t>syndrom</w:t>
      </w:r>
      <w:proofErr w:type="spellEnd"/>
      <w:r w:rsidRPr="00E61652">
        <w:rPr>
          <w:rFonts w:ascii="Times New Roman" w:hAnsi="Times New Roman" w:cs="Times New Roman"/>
          <w:sz w:val="24"/>
          <w:szCs w:val="24"/>
          <w:lang w:val="en-GB"/>
        </w:rPr>
        <w:t xml:space="preserve"> in </w:t>
      </w:r>
      <w:proofErr w:type="spellStart"/>
      <w:r w:rsidRPr="00E61652">
        <w:rPr>
          <w:rFonts w:ascii="Times New Roman" w:hAnsi="Times New Roman" w:cs="Times New Roman"/>
          <w:sz w:val="24"/>
          <w:szCs w:val="24"/>
          <w:lang w:val="en-GB"/>
        </w:rPr>
        <w:t>Depok</w:t>
      </w:r>
      <w:proofErr w:type="spellEnd"/>
      <w:r w:rsidRPr="00E61652">
        <w:rPr>
          <w:rFonts w:ascii="Times New Roman" w:hAnsi="Times New Roman" w:cs="Times New Roman"/>
          <w:sz w:val="24"/>
          <w:szCs w:val="24"/>
          <w:lang w:val="en-GB"/>
        </w:rPr>
        <w:t xml:space="preserve"> City remained 23.8%. </w:t>
      </w:r>
      <w:r w:rsidR="00C41941" w:rsidRPr="00E61652">
        <w:rPr>
          <w:rFonts w:ascii="Times New Roman" w:hAnsi="Times New Roman" w:cs="Times New Roman"/>
          <w:sz w:val="24"/>
          <w:szCs w:val="24"/>
          <w:lang w:val="en-GB"/>
        </w:rPr>
        <w:t xml:space="preserve">Therefore, this study aims to </w:t>
      </w:r>
      <w:r w:rsidR="00C41941" w:rsidRPr="00E61652">
        <w:rPr>
          <w:rFonts w:ascii="Times New Roman" w:hAnsi="Times New Roman" w:cs="Times New Roman"/>
          <w:iCs/>
          <w:sz w:val="24"/>
          <w:szCs w:val="24"/>
        </w:rPr>
        <w:t>estimate the prevalence of hyperuricemia and associated risk factors</w:t>
      </w:r>
      <w:r w:rsidR="00C41941" w:rsidRPr="00E61652">
        <w:rPr>
          <w:rFonts w:ascii="Times New Roman" w:hAnsi="Times New Roman" w:cs="Times New Roman"/>
          <w:sz w:val="24"/>
          <w:szCs w:val="24"/>
          <w:lang w:eastAsia="id-ID"/>
        </w:rPr>
        <w:t xml:space="preserve"> in Depok </w:t>
      </w:r>
      <w:r w:rsidR="00C41941" w:rsidRPr="00E61652">
        <w:rPr>
          <w:rFonts w:ascii="Times New Roman" w:hAnsi="Times New Roman" w:cs="Times New Roman"/>
          <w:sz w:val="24"/>
          <w:szCs w:val="24"/>
          <w:lang w:val="en-GB" w:eastAsia="id-ID"/>
        </w:rPr>
        <w:t>City, West Java</w:t>
      </w:r>
      <w:r w:rsidR="00C41941" w:rsidRPr="00E61652">
        <w:rPr>
          <w:rFonts w:ascii="Times New Roman" w:hAnsi="Times New Roman" w:cs="Times New Roman"/>
          <w:sz w:val="24"/>
          <w:szCs w:val="24"/>
          <w:lang w:eastAsia="id-ID"/>
        </w:rPr>
        <w:t>.</w:t>
      </w:r>
      <w:r w:rsidR="00E25A68" w:rsidRPr="00E61652">
        <w:rPr>
          <w:rFonts w:ascii="Times New Roman" w:hAnsi="Times New Roman" w:cs="Times New Roman"/>
          <w:sz w:val="24"/>
          <w:szCs w:val="24"/>
          <w:vertAlign w:val="superscript"/>
          <w:lang w:val="en-GB" w:eastAsia="id-ID"/>
        </w:rPr>
        <w:t>16</w:t>
      </w:r>
      <w:proofErr w:type="gramStart"/>
      <w:r w:rsidR="004B702D" w:rsidRPr="00E61652">
        <w:rPr>
          <w:rFonts w:ascii="Times New Roman" w:hAnsi="Times New Roman" w:cs="Times New Roman"/>
          <w:sz w:val="24"/>
          <w:szCs w:val="24"/>
          <w:vertAlign w:val="superscript"/>
          <w:lang w:val="en-GB" w:eastAsia="id-ID"/>
        </w:rPr>
        <w:t>,17</w:t>
      </w:r>
      <w:proofErr w:type="gramEnd"/>
    </w:p>
    <w:p w:rsidR="002C5900" w:rsidRPr="00E61652" w:rsidRDefault="002C5900" w:rsidP="00FC760C">
      <w:pPr>
        <w:spacing w:line="360" w:lineRule="auto"/>
        <w:rPr>
          <w:rFonts w:ascii="Times New Roman" w:eastAsia="Times New Roman" w:hAnsi="Times New Roman" w:cs="Times New Roman"/>
          <w:b/>
          <w:bCs/>
          <w:sz w:val="24"/>
          <w:szCs w:val="24"/>
          <w:lang w:val="en-GB" w:eastAsia="id-ID"/>
        </w:rPr>
      </w:pPr>
    </w:p>
    <w:p w:rsidR="00C41941" w:rsidRPr="00E61652" w:rsidRDefault="00C41941" w:rsidP="00FC760C">
      <w:pPr>
        <w:spacing w:line="360" w:lineRule="auto"/>
        <w:rPr>
          <w:rFonts w:ascii="Times New Roman" w:eastAsia="Times New Roman" w:hAnsi="Times New Roman" w:cs="Times New Roman"/>
          <w:b/>
          <w:lang w:eastAsia="id-ID"/>
        </w:rPr>
      </w:pPr>
      <w:r w:rsidRPr="00E61652">
        <w:rPr>
          <w:rFonts w:ascii="Times New Roman" w:eastAsia="Times New Roman" w:hAnsi="Times New Roman" w:cs="Times New Roman"/>
          <w:b/>
          <w:bCs/>
          <w:sz w:val="24"/>
          <w:szCs w:val="24"/>
          <w:lang w:eastAsia="id-ID"/>
        </w:rPr>
        <w:t>Methods</w:t>
      </w:r>
    </w:p>
    <w:p w:rsidR="00C41941" w:rsidRPr="00E61652" w:rsidRDefault="00C41941" w:rsidP="00FC760C">
      <w:pPr>
        <w:spacing w:line="360" w:lineRule="auto"/>
        <w:ind w:firstLine="720"/>
        <w:jc w:val="both"/>
        <w:rPr>
          <w:rFonts w:ascii="Times New Roman" w:eastAsia="Times New Roman" w:hAnsi="Times New Roman" w:cs="Times New Roman"/>
          <w:lang w:eastAsia="id-ID"/>
        </w:rPr>
      </w:pPr>
      <w:r w:rsidRPr="00E61652">
        <w:rPr>
          <w:rFonts w:ascii="Times New Roman" w:eastAsia="Times New Roman" w:hAnsi="Times New Roman" w:cs="Times New Roman"/>
          <w:sz w:val="24"/>
          <w:szCs w:val="24"/>
          <w:lang w:eastAsia="id-ID"/>
        </w:rPr>
        <w:t>The design of this study is a quantitative analytical research using </w:t>
      </w:r>
      <w:r w:rsidRPr="00E61652">
        <w:rPr>
          <w:rFonts w:ascii="Times New Roman" w:eastAsia="Times New Roman" w:hAnsi="Times New Roman" w:cs="Times New Roman"/>
          <w:i/>
          <w:iCs/>
          <w:sz w:val="24"/>
          <w:szCs w:val="24"/>
          <w:lang w:eastAsia="id-ID"/>
        </w:rPr>
        <w:t>cross sectional</w:t>
      </w:r>
      <w:r w:rsidRPr="00E61652">
        <w:rPr>
          <w:rFonts w:ascii="Times New Roman" w:eastAsia="Times New Roman" w:hAnsi="Times New Roman" w:cs="Times New Roman"/>
          <w:sz w:val="24"/>
          <w:szCs w:val="24"/>
          <w:lang w:eastAsia="id-ID"/>
        </w:rPr>
        <w:t> research design.</w:t>
      </w:r>
      <w:r w:rsidRPr="00E61652">
        <w:rPr>
          <w:rFonts w:ascii="Times New Roman" w:eastAsia="Times New Roman" w:hAnsi="Times New Roman" w:cs="Times New Roman"/>
          <w:lang w:eastAsia="id-ID"/>
        </w:rPr>
        <w:t> </w:t>
      </w:r>
      <w:r w:rsidRPr="00E61652">
        <w:rPr>
          <w:rFonts w:ascii="Times New Roman" w:eastAsia="Times New Roman" w:hAnsi="Times New Roman" w:cs="Times New Roman"/>
          <w:sz w:val="24"/>
          <w:szCs w:val="24"/>
          <w:lang w:eastAsia="id-ID"/>
        </w:rPr>
        <w:t xml:space="preserve">The population in this study </w:t>
      </w:r>
      <w:r w:rsidRPr="00E61652">
        <w:rPr>
          <w:rFonts w:ascii="Times New Roman" w:eastAsia="Times New Roman" w:hAnsi="Times New Roman" w:cs="Times New Roman"/>
          <w:sz w:val="24"/>
          <w:szCs w:val="24"/>
          <w:lang w:val="en-GB" w:eastAsia="id-ID"/>
        </w:rPr>
        <w:t>were</w:t>
      </w:r>
      <w:r w:rsidRPr="00E61652">
        <w:rPr>
          <w:rFonts w:ascii="Times New Roman" w:eastAsia="Times New Roman" w:hAnsi="Times New Roman" w:cs="Times New Roman"/>
          <w:sz w:val="24"/>
          <w:szCs w:val="24"/>
          <w:lang w:eastAsia="id-ID"/>
        </w:rPr>
        <w:t xml:space="preserve"> the people who live in the Pancoran Mas Village, Pancoran Mas subdistrict, Depok.</w:t>
      </w:r>
      <w:r w:rsidRPr="00E61652">
        <w:rPr>
          <w:rFonts w:ascii="Times New Roman" w:eastAsia="Times New Roman" w:hAnsi="Times New Roman" w:cs="Times New Roman"/>
          <w:lang w:eastAsia="id-ID"/>
        </w:rPr>
        <w:t> </w:t>
      </w:r>
      <w:r w:rsidRPr="00E61652">
        <w:rPr>
          <w:rFonts w:ascii="Times New Roman" w:eastAsia="Times New Roman" w:hAnsi="Times New Roman" w:cs="Times New Roman"/>
          <w:sz w:val="24"/>
          <w:szCs w:val="24"/>
          <w:lang w:eastAsia="id-ID"/>
        </w:rPr>
        <w:t>Sampling was done with sample</w:t>
      </w:r>
      <w:r w:rsidRPr="00E61652">
        <w:rPr>
          <w:rFonts w:ascii="Times New Roman" w:eastAsia="Times New Roman" w:hAnsi="Times New Roman" w:cs="Times New Roman"/>
          <w:sz w:val="24"/>
          <w:szCs w:val="24"/>
          <w:lang w:val="en-GB" w:eastAsia="id-ID"/>
        </w:rPr>
        <w:t xml:space="preserve"> size </w:t>
      </w:r>
      <w:r w:rsidRPr="00E61652">
        <w:rPr>
          <w:rFonts w:ascii="Times New Roman" w:eastAsia="Times New Roman" w:hAnsi="Times New Roman" w:cs="Times New Roman"/>
          <w:sz w:val="24"/>
          <w:szCs w:val="24"/>
          <w:lang w:eastAsia="id-ID"/>
        </w:rPr>
        <w:t>of 70 people with the criteria respondents aged 25-70 years, not obese and do not suffer from disease (</w:t>
      </w:r>
      <w:r w:rsidRPr="00E61652">
        <w:rPr>
          <w:rFonts w:ascii="Times New Roman" w:eastAsia="Times New Roman" w:hAnsi="Times New Roman" w:cs="Times New Roman"/>
          <w:sz w:val="24"/>
          <w:szCs w:val="24"/>
          <w:lang w:val="en-GB" w:eastAsia="id-ID"/>
        </w:rPr>
        <w:t>g</w:t>
      </w:r>
      <w:r w:rsidRPr="00E61652">
        <w:rPr>
          <w:rFonts w:ascii="Times New Roman" w:eastAsia="Times New Roman" w:hAnsi="Times New Roman" w:cs="Times New Roman"/>
          <w:sz w:val="24"/>
          <w:szCs w:val="24"/>
          <w:lang w:eastAsia="id-ID"/>
        </w:rPr>
        <w:t>out, history of hypertension, kidney disorders, intestinal disorders, heart disease and lung cancer)and willing to be a respondent.</w:t>
      </w:r>
    </w:p>
    <w:p w:rsidR="00163329" w:rsidRPr="00E61652" w:rsidRDefault="00C41941" w:rsidP="00FC760C">
      <w:pPr>
        <w:spacing w:line="360" w:lineRule="auto"/>
        <w:ind w:firstLine="720"/>
        <w:jc w:val="both"/>
        <w:rPr>
          <w:rFonts w:ascii="Times New Roman" w:hAnsi="Times New Roman" w:cs="Times New Roman"/>
          <w:iCs/>
          <w:sz w:val="24"/>
          <w:szCs w:val="24"/>
          <w:lang w:val="en-GB"/>
        </w:rPr>
      </w:pPr>
      <w:r w:rsidRPr="00E61652">
        <w:rPr>
          <w:rFonts w:ascii="Times New Roman" w:eastAsia="Times New Roman" w:hAnsi="Times New Roman" w:cs="Times New Roman"/>
          <w:sz w:val="24"/>
          <w:szCs w:val="24"/>
          <w:lang w:eastAsia="id-ID"/>
        </w:rPr>
        <w:t xml:space="preserve">Uric acid levels is the amount of uric acid levels in the blood after calculated using </w:t>
      </w:r>
      <w:r w:rsidRPr="00E61652">
        <w:rPr>
          <w:rFonts w:ascii="Times New Roman" w:eastAsia="Times New Roman" w:hAnsi="Times New Roman" w:cs="Times New Roman"/>
          <w:sz w:val="24"/>
          <w:szCs w:val="24"/>
          <w:lang w:val="en-US" w:eastAsia="id-ID"/>
        </w:rPr>
        <w:t>rapid test d</w:t>
      </w:r>
      <w:r w:rsidRPr="00E61652">
        <w:rPr>
          <w:rFonts w:ascii="Times New Roman" w:eastAsia="Times New Roman" w:hAnsi="Times New Roman" w:cs="Times New Roman"/>
          <w:sz w:val="24"/>
          <w:szCs w:val="24"/>
          <w:lang w:eastAsia="id-ID"/>
        </w:rPr>
        <w:t>igital uric acid which is expressed in units of mg / dl.</w:t>
      </w:r>
      <w:r w:rsidRPr="00E61652">
        <w:rPr>
          <w:rFonts w:ascii="Times New Roman" w:eastAsia="Times New Roman" w:hAnsi="Times New Roman" w:cs="Times New Roman"/>
          <w:lang w:eastAsia="id-ID"/>
        </w:rPr>
        <w:t> </w:t>
      </w:r>
      <w:r w:rsidRPr="00E61652">
        <w:rPr>
          <w:rFonts w:ascii="Times New Roman" w:eastAsia="Times New Roman" w:hAnsi="Times New Roman" w:cs="Times New Roman"/>
          <w:sz w:val="24"/>
          <w:szCs w:val="24"/>
          <w:lang w:eastAsia="id-ID"/>
        </w:rPr>
        <w:t>Divided into two categories, namely hiperuricemia (examination showed results above 7.0 for women and 6.0 for men) and in the category of normal range (examination of the results showed less than 7.0 for women and 6.0).</w:t>
      </w:r>
      <w:r w:rsidRPr="00E61652">
        <w:rPr>
          <w:rFonts w:ascii="Times New Roman" w:eastAsia="Times New Roman" w:hAnsi="Times New Roman" w:cs="Times New Roman"/>
          <w:lang w:eastAsia="id-ID"/>
        </w:rPr>
        <w:t> </w:t>
      </w:r>
      <w:r w:rsidRPr="00E61652">
        <w:rPr>
          <w:rFonts w:ascii="Times New Roman" w:eastAsia="Times New Roman" w:hAnsi="Times New Roman" w:cs="Times New Roman"/>
          <w:sz w:val="24"/>
          <w:szCs w:val="24"/>
          <w:lang w:eastAsia="id-ID"/>
        </w:rPr>
        <w:t>Purine consumption is consumption of food that is eaten every day in this high purine-containing foods (eg seafood, meat, bowel, chips, durian, avocado, butter / fried).</w:t>
      </w:r>
      <w:r w:rsidRPr="00E61652">
        <w:rPr>
          <w:rFonts w:ascii="Times New Roman" w:eastAsia="Times New Roman" w:hAnsi="Times New Roman" w:cs="Times New Roman"/>
          <w:lang w:eastAsia="id-ID"/>
        </w:rPr>
        <w:t> </w:t>
      </w:r>
      <w:r w:rsidRPr="00E61652">
        <w:rPr>
          <w:rFonts w:ascii="Times New Roman" w:eastAsia="Times New Roman" w:hAnsi="Times New Roman" w:cs="Times New Roman"/>
          <w:sz w:val="24"/>
          <w:szCs w:val="24"/>
          <w:lang w:eastAsia="id-ID"/>
        </w:rPr>
        <w:t>Age is divided into two categories, the first age less than 50 years representing the younger group.</w:t>
      </w:r>
      <w:r w:rsidRPr="00E61652">
        <w:rPr>
          <w:rFonts w:ascii="Times New Roman" w:eastAsia="Times New Roman" w:hAnsi="Times New Roman" w:cs="Times New Roman"/>
          <w:lang w:eastAsia="id-ID"/>
        </w:rPr>
        <w:t> </w:t>
      </w:r>
      <w:r w:rsidRPr="00E61652">
        <w:rPr>
          <w:rFonts w:ascii="Times New Roman" w:eastAsia="Times New Roman" w:hAnsi="Times New Roman" w:cs="Times New Roman"/>
          <w:sz w:val="24"/>
          <w:szCs w:val="24"/>
          <w:lang w:eastAsia="id-ID"/>
        </w:rPr>
        <w:t xml:space="preserve">Both age above 50 years old group </w:t>
      </w:r>
      <w:r w:rsidRPr="00E61652">
        <w:rPr>
          <w:rFonts w:ascii="Times New Roman" w:eastAsia="Times New Roman" w:hAnsi="Times New Roman" w:cs="Times New Roman"/>
          <w:sz w:val="24"/>
          <w:szCs w:val="24"/>
          <w:lang w:eastAsia="id-ID"/>
        </w:rPr>
        <w:lastRenderedPageBreak/>
        <w:t>represents.</w:t>
      </w:r>
      <w:r w:rsidR="00163329" w:rsidRPr="00E61652">
        <w:rPr>
          <w:rFonts w:ascii="Times New Roman" w:hAnsi="Times New Roman" w:cs="Times New Roman"/>
          <w:sz w:val="24"/>
          <w:szCs w:val="24"/>
          <w:lang w:val="en-GB"/>
        </w:rPr>
        <w:t xml:space="preserve">Chi-square test and multivariate analysis using logistic regression test were done to obtain associated risk factors to </w:t>
      </w:r>
      <w:proofErr w:type="spellStart"/>
      <w:r w:rsidR="00163329" w:rsidRPr="00E61652">
        <w:rPr>
          <w:rFonts w:ascii="Times New Roman" w:hAnsi="Times New Roman" w:cs="Times New Roman"/>
          <w:sz w:val="24"/>
          <w:szCs w:val="24"/>
          <w:lang w:val="en-GB"/>
        </w:rPr>
        <w:t>hyperuricemia</w:t>
      </w:r>
      <w:proofErr w:type="spellEnd"/>
      <w:r w:rsidR="00163329" w:rsidRPr="00E61652">
        <w:rPr>
          <w:rFonts w:ascii="Times New Roman" w:hAnsi="Times New Roman" w:cs="Times New Roman"/>
          <w:iCs/>
          <w:sz w:val="24"/>
          <w:szCs w:val="24"/>
        </w:rPr>
        <w:t>.</w:t>
      </w:r>
    </w:p>
    <w:p w:rsidR="002C5900" w:rsidRPr="00E61652" w:rsidRDefault="002C5900" w:rsidP="00FC760C">
      <w:pPr>
        <w:spacing w:line="360" w:lineRule="auto"/>
        <w:jc w:val="both"/>
        <w:rPr>
          <w:rFonts w:ascii="Times New Roman" w:eastAsia="Times New Roman" w:hAnsi="Times New Roman" w:cs="Times New Roman"/>
          <w:b/>
          <w:bCs/>
          <w:sz w:val="24"/>
          <w:szCs w:val="24"/>
          <w:lang w:val="en-GB" w:eastAsia="id-ID"/>
        </w:rPr>
      </w:pPr>
    </w:p>
    <w:p w:rsidR="00C41941" w:rsidRPr="00E61652" w:rsidRDefault="00C41941" w:rsidP="00FC760C">
      <w:pPr>
        <w:spacing w:line="360" w:lineRule="auto"/>
        <w:jc w:val="both"/>
        <w:rPr>
          <w:rFonts w:ascii="Times New Roman" w:eastAsia="Times New Roman" w:hAnsi="Times New Roman" w:cs="Times New Roman"/>
          <w:b/>
          <w:lang w:val="en-US" w:eastAsia="id-ID"/>
        </w:rPr>
      </w:pPr>
      <w:r w:rsidRPr="00E61652">
        <w:rPr>
          <w:rFonts w:ascii="Times New Roman" w:eastAsia="Times New Roman" w:hAnsi="Times New Roman" w:cs="Times New Roman"/>
          <w:b/>
          <w:bCs/>
          <w:sz w:val="24"/>
          <w:szCs w:val="24"/>
          <w:lang w:eastAsia="id-ID"/>
        </w:rPr>
        <w:t>Result</w:t>
      </w:r>
      <w:r w:rsidRPr="00E61652">
        <w:rPr>
          <w:rFonts w:ascii="Times New Roman" w:eastAsia="Times New Roman" w:hAnsi="Times New Roman" w:cs="Times New Roman"/>
          <w:b/>
          <w:bCs/>
          <w:sz w:val="24"/>
          <w:szCs w:val="24"/>
          <w:lang w:val="en-US" w:eastAsia="id-ID"/>
        </w:rPr>
        <w:t>s</w:t>
      </w:r>
    </w:p>
    <w:p w:rsidR="00C41941" w:rsidRPr="00E61652" w:rsidRDefault="00C41941" w:rsidP="00FC760C">
      <w:pPr>
        <w:spacing w:line="360" w:lineRule="auto"/>
        <w:ind w:firstLine="720"/>
        <w:jc w:val="both"/>
        <w:rPr>
          <w:rFonts w:ascii="Times New Roman" w:eastAsia="Times New Roman" w:hAnsi="Times New Roman" w:cs="Times New Roman"/>
          <w:sz w:val="24"/>
          <w:szCs w:val="24"/>
          <w:lang w:val="en-GB" w:eastAsia="id-ID"/>
        </w:rPr>
      </w:pPr>
      <w:r w:rsidRPr="00E61652">
        <w:rPr>
          <w:rFonts w:ascii="Times New Roman" w:eastAsia="Times New Roman" w:hAnsi="Times New Roman" w:cs="Times New Roman"/>
          <w:sz w:val="24"/>
          <w:szCs w:val="24"/>
          <w:lang w:eastAsia="id-ID"/>
        </w:rPr>
        <w:t>Table 1 shows that the majority of respondents were female.</w:t>
      </w:r>
      <w:r w:rsidRPr="00E61652">
        <w:rPr>
          <w:rFonts w:ascii="Times New Roman" w:eastAsia="Times New Roman" w:hAnsi="Times New Roman" w:cs="Times New Roman"/>
          <w:lang w:eastAsia="id-ID"/>
        </w:rPr>
        <w:t> </w:t>
      </w:r>
      <w:r w:rsidRPr="00E61652">
        <w:rPr>
          <w:rFonts w:ascii="Times New Roman" w:eastAsia="Times New Roman" w:hAnsi="Times New Roman" w:cs="Times New Roman"/>
          <w:sz w:val="24"/>
          <w:szCs w:val="24"/>
          <w:lang w:eastAsia="id-ID"/>
        </w:rPr>
        <w:t>Most respondents education is elementary school</w:t>
      </w:r>
      <w:r w:rsidRPr="00E61652">
        <w:rPr>
          <w:rFonts w:ascii="Times New Roman" w:eastAsia="Times New Roman" w:hAnsi="Times New Roman" w:cs="Times New Roman"/>
          <w:sz w:val="24"/>
          <w:szCs w:val="24"/>
          <w:lang w:val="en-GB" w:eastAsia="id-ID"/>
        </w:rPr>
        <w:t xml:space="preserve">, not working, has good knowledge on nutrition and more than 40 percent has history of </w:t>
      </w:r>
      <w:proofErr w:type="spellStart"/>
      <w:r w:rsidRPr="00E61652">
        <w:rPr>
          <w:rFonts w:ascii="Times New Roman" w:eastAsia="Times New Roman" w:hAnsi="Times New Roman" w:cs="Times New Roman"/>
          <w:sz w:val="24"/>
          <w:szCs w:val="24"/>
          <w:lang w:val="en-GB" w:eastAsia="id-ID"/>
        </w:rPr>
        <w:t>purine</w:t>
      </w:r>
      <w:proofErr w:type="spellEnd"/>
      <w:r w:rsidRPr="00E61652">
        <w:rPr>
          <w:rFonts w:ascii="Times New Roman" w:eastAsia="Times New Roman" w:hAnsi="Times New Roman" w:cs="Times New Roman"/>
          <w:sz w:val="24"/>
          <w:szCs w:val="24"/>
          <w:lang w:val="en-GB" w:eastAsia="id-ID"/>
        </w:rPr>
        <w:t xml:space="preserve"> consumption</w:t>
      </w:r>
      <w:r w:rsidRPr="00E61652">
        <w:rPr>
          <w:rFonts w:ascii="Times New Roman" w:eastAsia="Times New Roman" w:hAnsi="Times New Roman" w:cs="Times New Roman"/>
          <w:sz w:val="24"/>
          <w:szCs w:val="24"/>
          <w:lang w:eastAsia="id-ID"/>
        </w:rPr>
        <w:t>.</w:t>
      </w:r>
      <w:r w:rsidRPr="00E61652">
        <w:rPr>
          <w:rFonts w:ascii="Times New Roman" w:eastAsia="Times New Roman" w:hAnsi="Times New Roman" w:cs="Times New Roman"/>
          <w:lang w:eastAsia="id-ID"/>
        </w:rPr>
        <w:t> </w:t>
      </w:r>
    </w:p>
    <w:p w:rsidR="00C41941" w:rsidRPr="00E61652" w:rsidRDefault="00C41941" w:rsidP="00712D30">
      <w:pPr>
        <w:spacing w:line="360" w:lineRule="atLeast"/>
        <w:ind w:firstLine="720"/>
        <w:jc w:val="center"/>
        <w:rPr>
          <w:rFonts w:ascii="Times New Roman" w:eastAsia="Times New Roman" w:hAnsi="Times New Roman" w:cs="Times New Roman"/>
          <w:b/>
          <w:lang w:val="en-GB" w:eastAsia="id-ID"/>
        </w:rPr>
      </w:pPr>
      <w:proofErr w:type="gramStart"/>
      <w:r w:rsidRPr="00E61652">
        <w:rPr>
          <w:rFonts w:ascii="Times New Roman" w:eastAsia="Times New Roman" w:hAnsi="Times New Roman" w:cs="Times New Roman"/>
          <w:b/>
          <w:lang w:val="en-GB" w:eastAsia="id-ID"/>
        </w:rPr>
        <w:t>Table 1.</w:t>
      </w:r>
      <w:proofErr w:type="gramEnd"/>
      <w:r w:rsidRPr="00E61652">
        <w:rPr>
          <w:rFonts w:ascii="Times New Roman" w:eastAsia="Times New Roman" w:hAnsi="Times New Roman" w:cs="Times New Roman"/>
          <w:b/>
          <w:lang w:val="en-GB" w:eastAsia="id-ID"/>
        </w:rPr>
        <w:t xml:space="preserve"> Characteristics of the subject</w:t>
      </w:r>
    </w:p>
    <w:tbl>
      <w:tblPr>
        <w:tblStyle w:val="TableGrid"/>
        <w:tblW w:w="0" w:type="auto"/>
        <w:jc w:val="center"/>
        <w:tblInd w:w="-505" w:type="dxa"/>
        <w:tblBorders>
          <w:left w:val="dotted" w:sz="4" w:space="0" w:color="auto"/>
          <w:right w:val="dotted" w:sz="4" w:space="0" w:color="auto"/>
          <w:insideH w:val="dotted" w:sz="4" w:space="0" w:color="auto"/>
          <w:insideV w:val="dotted" w:sz="4" w:space="0" w:color="auto"/>
        </w:tblBorders>
        <w:tblLook w:val="04A0"/>
      </w:tblPr>
      <w:tblGrid>
        <w:gridCol w:w="3580"/>
        <w:gridCol w:w="2268"/>
        <w:gridCol w:w="1701"/>
      </w:tblGrid>
      <w:tr w:rsidR="00022166" w:rsidRPr="00E61652" w:rsidTr="00712D30">
        <w:trPr>
          <w:tblHeader/>
          <w:jc w:val="center"/>
        </w:trPr>
        <w:tc>
          <w:tcPr>
            <w:tcW w:w="3580" w:type="dxa"/>
            <w:tcBorders>
              <w:top w:val="single" w:sz="4" w:space="0" w:color="auto"/>
              <w:bottom w:val="single" w:sz="4" w:space="0" w:color="auto"/>
            </w:tcBorders>
          </w:tcPr>
          <w:p w:rsidR="00C41941" w:rsidRPr="00E61652" w:rsidRDefault="00C41941" w:rsidP="00FC760C">
            <w:pPr>
              <w:spacing w:line="360" w:lineRule="atLeast"/>
              <w:jc w:val="center"/>
              <w:rPr>
                <w:rFonts w:ascii="Times New Roman" w:eastAsia="Times New Roman" w:hAnsi="Times New Roman" w:cs="Times New Roman"/>
                <w:b/>
                <w:sz w:val="20"/>
                <w:szCs w:val="20"/>
                <w:lang w:val="en-GB" w:eastAsia="id-ID"/>
              </w:rPr>
            </w:pPr>
            <w:r w:rsidRPr="00E61652">
              <w:rPr>
                <w:rFonts w:ascii="Times New Roman" w:eastAsia="Times New Roman" w:hAnsi="Times New Roman" w:cs="Times New Roman"/>
                <w:b/>
                <w:sz w:val="20"/>
                <w:szCs w:val="20"/>
                <w:lang w:val="en-GB" w:eastAsia="id-ID"/>
              </w:rPr>
              <w:t>Variable</w:t>
            </w:r>
          </w:p>
        </w:tc>
        <w:tc>
          <w:tcPr>
            <w:tcW w:w="2268" w:type="dxa"/>
            <w:tcBorders>
              <w:top w:val="single" w:sz="4" w:space="0" w:color="auto"/>
              <w:bottom w:val="single" w:sz="4" w:space="0" w:color="auto"/>
            </w:tcBorders>
          </w:tcPr>
          <w:p w:rsidR="00C41941" w:rsidRPr="00E61652" w:rsidRDefault="00C41941" w:rsidP="00FC760C">
            <w:pPr>
              <w:spacing w:line="360" w:lineRule="atLeast"/>
              <w:jc w:val="center"/>
              <w:rPr>
                <w:rFonts w:ascii="Times New Roman" w:eastAsia="Times New Roman" w:hAnsi="Times New Roman" w:cs="Times New Roman"/>
                <w:b/>
                <w:sz w:val="20"/>
                <w:szCs w:val="20"/>
                <w:lang w:val="en-GB" w:eastAsia="id-ID"/>
              </w:rPr>
            </w:pPr>
            <w:r w:rsidRPr="00E61652">
              <w:rPr>
                <w:rFonts w:ascii="Times New Roman" w:eastAsia="Times New Roman" w:hAnsi="Times New Roman" w:cs="Times New Roman"/>
                <w:b/>
                <w:sz w:val="20"/>
                <w:szCs w:val="20"/>
                <w:lang w:val="en-GB" w:eastAsia="id-ID"/>
              </w:rPr>
              <w:t>Category</w:t>
            </w:r>
          </w:p>
        </w:tc>
        <w:tc>
          <w:tcPr>
            <w:tcW w:w="1701" w:type="dxa"/>
            <w:tcBorders>
              <w:top w:val="single" w:sz="4" w:space="0" w:color="auto"/>
              <w:bottom w:val="single" w:sz="4" w:space="0" w:color="auto"/>
            </w:tcBorders>
          </w:tcPr>
          <w:p w:rsidR="00C41941" w:rsidRPr="00E61652" w:rsidRDefault="00C41941" w:rsidP="00FC760C">
            <w:pPr>
              <w:spacing w:line="360" w:lineRule="atLeast"/>
              <w:jc w:val="center"/>
              <w:rPr>
                <w:rFonts w:ascii="Times New Roman" w:eastAsia="Times New Roman" w:hAnsi="Times New Roman" w:cs="Times New Roman"/>
                <w:b/>
                <w:sz w:val="20"/>
                <w:szCs w:val="20"/>
                <w:lang w:val="en-GB" w:eastAsia="id-ID"/>
              </w:rPr>
            </w:pPr>
            <w:proofErr w:type="gramStart"/>
            <w:r w:rsidRPr="00E61652">
              <w:rPr>
                <w:rFonts w:ascii="Times New Roman" w:eastAsia="Times New Roman" w:hAnsi="Times New Roman" w:cs="Times New Roman"/>
                <w:b/>
                <w:sz w:val="20"/>
                <w:szCs w:val="20"/>
                <w:lang w:val="en-GB" w:eastAsia="id-ID"/>
              </w:rPr>
              <w:t>n</w:t>
            </w:r>
            <w:proofErr w:type="gramEnd"/>
            <w:r w:rsidRPr="00E61652">
              <w:rPr>
                <w:rFonts w:ascii="Times New Roman" w:eastAsia="Times New Roman" w:hAnsi="Times New Roman" w:cs="Times New Roman"/>
                <w:b/>
                <w:sz w:val="20"/>
                <w:szCs w:val="20"/>
                <w:lang w:val="en-GB" w:eastAsia="id-ID"/>
              </w:rPr>
              <w:t xml:space="preserve"> (%)</w:t>
            </w:r>
          </w:p>
        </w:tc>
      </w:tr>
      <w:tr w:rsidR="00022166" w:rsidRPr="00E61652" w:rsidTr="00712D30">
        <w:trPr>
          <w:jc w:val="center"/>
        </w:trPr>
        <w:tc>
          <w:tcPr>
            <w:tcW w:w="3580"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Age</w:t>
            </w:r>
          </w:p>
        </w:tc>
        <w:tc>
          <w:tcPr>
            <w:tcW w:w="2268" w:type="dxa"/>
          </w:tcPr>
          <w:p w:rsidR="00C41941" w:rsidRPr="00E61652" w:rsidRDefault="00C41941" w:rsidP="007128B9">
            <w:pPr>
              <w:spacing w:line="150" w:lineRule="atLeast"/>
              <w:ind w:right="100"/>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Less than 50 years</w:t>
            </w:r>
          </w:p>
        </w:tc>
        <w:tc>
          <w:tcPr>
            <w:tcW w:w="1701" w:type="dxa"/>
          </w:tcPr>
          <w:p w:rsidR="00C41941" w:rsidRPr="00E61652" w:rsidRDefault="00C41941" w:rsidP="00FC760C">
            <w:pPr>
              <w:spacing w:line="360" w:lineRule="atLeast"/>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43 (61.4)</w:t>
            </w:r>
          </w:p>
        </w:tc>
      </w:tr>
      <w:tr w:rsidR="00022166" w:rsidRPr="00E61652" w:rsidTr="00712D30">
        <w:trPr>
          <w:jc w:val="center"/>
        </w:trPr>
        <w:tc>
          <w:tcPr>
            <w:tcW w:w="3580"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p>
        </w:tc>
        <w:tc>
          <w:tcPr>
            <w:tcW w:w="2268" w:type="dxa"/>
          </w:tcPr>
          <w:p w:rsidR="00C41941" w:rsidRPr="00E61652" w:rsidRDefault="00C41941" w:rsidP="007128B9">
            <w:pPr>
              <w:ind w:right="100"/>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50 years and over</w:t>
            </w:r>
          </w:p>
        </w:tc>
        <w:tc>
          <w:tcPr>
            <w:tcW w:w="1701" w:type="dxa"/>
          </w:tcPr>
          <w:p w:rsidR="00C41941" w:rsidRPr="00E61652" w:rsidRDefault="00C41941" w:rsidP="00FC760C">
            <w:pPr>
              <w:spacing w:line="360" w:lineRule="atLeast"/>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27 (38.6)</w:t>
            </w:r>
          </w:p>
        </w:tc>
      </w:tr>
      <w:tr w:rsidR="00022166" w:rsidRPr="00E61652" w:rsidTr="00712D30">
        <w:trPr>
          <w:jc w:val="center"/>
        </w:trPr>
        <w:tc>
          <w:tcPr>
            <w:tcW w:w="3580"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Gender</w:t>
            </w:r>
          </w:p>
        </w:tc>
        <w:tc>
          <w:tcPr>
            <w:tcW w:w="2268"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Male</w:t>
            </w:r>
          </w:p>
        </w:tc>
        <w:tc>
          <w:tcPr>
            <w:tcW w:w="1701" w:type="dxa"/>
          </w:tcPr>
          <w:p w:rsidR="00C41941" w:rsidRPr="00E61652" w:rsidRDefault="00C41941" w:rsidP="00FC760C">
            <w:pPr>
              <w:spacing w:line="360" w:lineRule="atLeast"/>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15 (21.4)</w:t>
            </w:r>
          </w:p>
        </w:tc>
      </w:tr>
      <w:tr w:rsidR="00022166" w:rsidRPr="00E61652" w:rsidTr="00712D30">
        <w:trPr>
          <w:jc w:val="center"/>
        </w:trPr>
        <w:tc>
          <w:tcPr>
            <w:tcW w:w="3580"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p>
        </w:tc>
        <w:tc>
          <w:tcPr>
            <w:tcW w:w="2268"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Female</w:t>
            </w:r>
          </w:p>
        </w:tc>
        <w:tc>
          <w:tcPr>
            <w:tcW w:w="1701" w:type="dxa"/>
          </w:tcPr>
          <w:p w:rsidR="00C41941" w:rsidRPr="00E61652" w:rsidRDefault="00C41941" w:rsidP="00FC760C">
            <w:pPr>
              <w:spacing w:line="360" w:lineRule="atLeast"/>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55 (78.6)</w:t>
            </w:r>
          </w:p>
        </w:tc>
      </w:tr>
      <w:tr w:rsidR="00022166" w:rsidRPr="00E61652" w:rsidTr="00712D30">
        <w:trPr>
          <w:jc w:val="center"/>
        </w:trPr>
        <w:tc>
          <w:tcPr>
            <w:tcW w:w="3580"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Level of education</w:t>
            </w:r>
          </w:p>
        </w:tc>
        <w:tc>
          <w:tcPr>
            <w:tcW w:w="2268"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Elementary school</w:t>
            </w:r>
          </w:p>
        </w:tc>
        <w:tc>
          <w:tcPr>
            <w:tcW w:w="1701" w:type="dxa"/>
          </w:tcPr>
          <w:p w:rsidR="00C41941" w:rsidRPr="00E61652" w:rsidRDefault="00C41941" w:rsidP="00FC760C">
            <w:pPr>
              <w:spacing w:line="360" w:lineRule="atLeast"/>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45 (64.3)</w:t>
            </w:r>
          </w:p>
        </w:tc>
      </w:tr>
      <w:tr w:rsidR="00022166" w:rsidRPr="00E61652" w:rsidTr="00712D30">
        <w:trPr>
          <w:jc w:val="center"/>
        </w:trPr>
        <w:tc>
          <w:tcPr>
            <w:tcW w:w="3580"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p>
        </w:tc>
        <w:tc>
          <w:tcPr>
            <w:tcW w:w="2268"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Junior and high school</w:t>
            </w:r>
          </w:p>
        </w:tc>
        <w:tc>
          <w:tcPr>
            <w:tcW w:w="1701" w:type="dxa"/>
          </w:tcPr>
          <w:p w:rsidR="00C41941" w:rsidRPr="00E61652" w:rsidRDefault="00C41941" w:rsidP="00FC760C">
            <w:pPr>
              <w:spacing w:line="360" w:lineRule="atLeast"/>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18 (25.7)</w:t>
            </w:r>
          </w:p>
        </w:tc>
      </w:tr>
      <w:tr w:rsidR="00022166" w:rsidRPr="00E61652" w:rsidTr="00712D30">
        <w:trPr>
          <w:jc w:val="center"/>
        </w:trPr>
        <w:tc>
          <w:tcPr>
            <w:tcW w:w="3580"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p>
        </w:tc>
        <w:tc>
          <w:tcPr>
            <w:tcW w:w="2268"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Higher education</w:t>
            </w:r>
          </w:p>
        </w:tc>
        <w:tc>
          <w:tcPr>
            <w:tcW w:w="1701" w:type="dxa"/>
          </w:tcPr>
          <w:p w:rsidR="00C41941" w:rsidRPr="00E61652" w:rsidRDefault="00C41941" w:rsidP="00FC760C">
            <w:pPr>
              <w:spacing w:line="360" w:lineRule="atLeast"/>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7 (10.0)</w:t>
            </w:r>
          </w:p>
        </w:tc>
      </w:tr>
      <w:tr w:rsidR="00022166" w:rsidRPr="00E61652" w:rsidTr="00712D30">
        <w:trPr>
          <w:jc w:val="center"/>
        </w:trPr>
        <w:tc>
          <w:tcPr>
            <w:tcW w:w="3580"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Work status</w:t>
            </w:r>
          </w:p>
        </w:tc>
        <w:tc>
          <w:tcPr>
            <w:tcW w:w="2268"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Working</w:t>
            </w:r>
          </w:p>
        </w:tc>
        <w:tc>
          <w:tcPr>
            <w:tcW w:w="1701" w:type="dxa"/>
          </w:tcPr>
          <w:p w:rsidR="00C41941" w:rsidRPr="00E61652" w:rsidRDefault="00C41941" w:rsidP="00FC760C">
            <w:pPr>
              <w:spacing w:line="360" w:lineRule="atLeast"/>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10 (14.3)</w:t>
            </w:r>
          </w:p>
        </w:tc>
      </w:tr>
      <w:tr w:rsidR="00022166" w:rsidRPr="00E61652" w:rsidTr="00712D30">
        <w:trPr>
          <w:jc w:val="center"/>
        </w:trPr>
        <w:tc>
          <w:tcPr>
            <w:tcW w:w="3580"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p>
        </w:tc>
        <w:tc>
          <w:tcPr>
            <w:tcW w:w="2268"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Not working</w:t>
            </w:r>
          </w:p>
        </w:tc>
        <w:tc>
          <w:tcPr>
            <w:tcW w:w="1701" w:type="dxa"/>
          </w:tcPr>
          <w:p w:rsidR="00C41941" w:rsidRPr="00E61652" w:rsidRDefault="00C41941" w:rsidP="00FC760C">
            <w:pPr>
              <w:spacing w:line="360" w:lineRule="atLeast"/>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60 (85.7)</w:t>
            </w:r>
          </w:p>
        </w:tc>
      </w:tr>
      <w:tr w:rsidR="00022166" w:rsidRPr="00E61652" w:rsidTr="00712D30">
        <w:trPr>
          <w:jc w:val="center"/>
        </w:trPr>
        <w:tc>
          <w:tcPr>
            <w:tcW w:w="3580" w:type="dxa"/>
          </w:tcPr>
          <w:p w:rsidR="00C41941" w:rsidRPr="00E61652" w:rsidRDefault="00FF7DCF" w:rsidP="007128B9">
            <w:pPr>
              <w:spacing w:line="360" w:lineRule="atLeast"/>
              <w:jc w:val="both"/>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Nutritional k</w:t>
            </w:r>
            <w:r w:rsidR="00C41941" w:rsidRPr="00E61652">
              <w:rPr>
                <w:rFonts w:ascii="Times New Roman" w:eastAsia="Times New Roman" w:hAnsi="Times New Roman" w:cs="Times New Roman"/>
                <w:sz w:val="20"/>
                <w:szCs w:val="20"/>
                <w:lang w:val="en-GB" w:eastAsia="id-ID"/>
              </w:rPr>
              <w:t>nowledge</w:t>
            </w:r>
            <w:r w:rsidRPr="00E61652">
              <w:rPr>
                <w:rFonts w:ascii="Times New Roman" w:eastAsia="Times New Roman" w:hAnsi="Times New Roman" w:cs="Times New Roman"/>
                <w:sz w:val="20"/>
                <w:szCs w:val="20"/>
                <w:lang w:val="en-GB" w:eastAsia="id-ID"/>
              </w:rPr>
              <w:t xml:space="preserve"> on </w:t>
            </w:r>
            <w:proofErr w:type="spellStart"/>
            <w:r w:rsidRPr="00E61652">
              <w:rPr>
                <w:rFonts w:ascii="Times New Roman" w:eastAsia="Times New Roman" w:hAnsi="Times New Roman" w:cs="Times New Roman"/>
                <w:sz w:val="20"/>
                <w:szCs w:val="20"/>
                <w:lang w:val="en-GB" w:eastAsia="id-ID"/>
              </w:rPr>
              <w:t>hyperuricemia</w:t>
            </w:r>
            <w:proofErr w:type="spellEnd"/>
          </w:p>
        </w:tc>
        <w:tc>
          <w:tcPr>
            <w:tcW w:w="2268"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 xml:space="preserve">Poor </w:t>
            </w:r>
          </w:p>
        </w:tc>
        <w:tc>
          <w:tcPr>
            <w:tcW w:w="1701" w:type="dxa"/>
          </w:tcPr>
          <w:p w:rsidR="00C41941" w:rsidRPr="00E61652" w:rsidRDefault="00C41941" w:rsidP="00FC760C">
            <w:pPr>
              <w:spacing w:line="360" w:lineRule="atLeast"/>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23 (32.9)</w:t>
            </w:r>
          </w:p>
        </w:tc>
      </w:tr>
      <w:tr w:rsidR="00022166" w:rsidRPr="00E61652" w:rsidTr="00712D30">
        <w:trPr>
          <w:jc w:val="center"/>
        </w:trPr>
        <w:tc>
          <w:tcPr>
            <w:tcW w:w="3580"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p>
        </w:tc>
        <w:tc>
          <w:tcPr>
            <w:tcW w:w="2268"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Good</w:t>
            </w:r>
          </w:p>
        </w:tc>
        <w:tc>
          <w:tcPr>
            <w:tcW w:w="1701" w:type="dxa"/>
          </w:tcPr>
          <w:p w:rsidR="00C41941" w:rsidRPr="00E61652" w:rsidRDefault="00C41941" w:rsidP="00FC760C">
            <w:pPr>
              <w:spacing w:line="360" w:lineRule="atLeast"/>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47 (67.1)</w:t>
            </w:r>
          </w:p>
        </w:tc>
      </w:tr>
      <w:tr w:rsidR="00022166" w:rsidRPr="00E61652" w:rsidTr="00712D30">
        <w:trPr>
          <w:jc w:val="center"/>
        </w:trPr>
        <w:tc>
          <w:tcPr>
            <w:tcW w:w="3580"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 xml:space="preserve">History of </w:t>
            </w:r>
            <w:proofErr w:type="spellStart"/>
            <w:r w:rsidRPr="00E61652">
              <w:rPr>
                <w:rFonts w:ascii="Times New Roman" w:eastAsia="Times New Roman" w:hAnsi="Times New Roman" w:cs="Times New Roman"/>
                <w:sz w:val="20"/>
                <w:szCs w:val="20"/>
                <w:lang w:val="en-GB" w:eastAsia="id-ID"/>
              </w:rPr>
              <w:t>purine</w:t>
            </w:r>
            <w:proofErr w:type="spellEnd"/>
            <w:r w:rsidRPr="00E61652">
              <w:rPr>
                <w:rFonts w:ascii="Times New Roman" w:eastAsia="Times New Roman" w:hAnsi="Times New Roman" w:cs="Times New Roman"/>
                <w:sz w:val="20"/>
                <w:szCs w:val="20"/>
                <w:lang w:val="en-GB" w:eastAsia="id-ID"/>
              </w:rPr>
              <w:t xml:space="preserve"> consumption</w:t>
            </w:r>
          </w:p>
        </w:tc>
        <w:tc>
          <w:tcPr>
            <w:tcW w:w="2268"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Yes</w:t>
            </w:r>
          </w:p>
        </w:tc>
        <w:tc>
          <w:tcPr>
            <w:tcW w:w="1701" w:type="dxa"/>
          </w:tcPr>
          <w:p w:rsidR="00C41941" w:rsidRPr="00E61652" w:rsidRDefault="00C41941" w:rsidP="00FC760C">
            <w:pPr>
              <w:spacing w:line="360" w:lineRule="atLeast"/>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29 (41.4)</w:t>
            </w:r>
          </w:p>
        </w:tc>
      </w:tr>
      <w:tr w:rsidR="00022166" w:rsidRPr="00E61652" w:rsidTr="00712D30">
        <w:trPr>
          <w:jc w:val="center"/>
        </w:trPr>
        <w:tc>
          <w:tcPr>
            <w:tcW w:w="3580"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p>
        </w:tc>
        <w:tc>
          <w:tcPr>
            <w:tcW w:w="2268" w:type="dxa"/>
          </w:tcPr>
          <w:p w:rsidR="00C41941" w:rsidRPr="00E61652" w:rsidRDefault="00C41941" w:rsidP="007128B9">
            <w:pPr>
              <w:spacing w:line="360" w:lineRule="atLeast"/>
              <w:jc w:val="both"/>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No</w:t>
            </w:r>
          </w:p>
        </w:tc>
        <w:tc>
          <w:tcPr>
            <w:tcW w:w="1701" w:type="dxa"/>
          </w:tcPr>
          <w:p w:rsidR="00C41941" w:rsidRPr="00E61652" w:rsidRDefault="00C41941" w:rsidP="00FC760C">
            <w:pPr>
              <w:spacing w:line="360" w:lineRule="atLeast"/>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41 (58.6)</w:t>
            </w:r>
          </w:p>
        </w:tc>
      </w:tr>
    </w:tbl>
    <w:p w:rsidR="00F00065" w:rsidRDefault="00F00065" w:rsidP="00474D06">
      <w:pPr>
        <w:rPr>
          <w:rFonts w:ascii="Times New Roman" w:eastAsia="Times New Roman" w:hAnsi="Times New Roman" w:cs="Times New Roman"/>
          <w:bCs/>
          <w:lang w:eastAsia="id-ID"/>
        </w:rPr>
      </w:pPr>
    </w:p>
    <w:p w:rsidR="00474D06" w:rsidRDefault="00474D06" w:rsidP="00474D06">
      <w:pPr>
        <w:rPr>
          <w:rFonts w:ascii="Times New Roman" w:eastAsia="Times New Roman" w:hAnsi="Times New Roman" w:cs="Times New Roman"/>
          <w:bCs/>
          <w:lang w:eastAsia="id-ID"/>
        </w:rPr>
      </w:pPr>
    </w:p>
    <w:p w:rsidR="00474D06" w:rsidRDefault="00474D06" w:rsidP="00474D06">
      <w:pPr>
        <w:rPr>
          <w:rFonts w:ascii="Times New Roman" w:eastAsia="Times New Roman" w:hAnsi="Times New Roman" w:cs="Times New Roman"/>
          <w:bCs/>
          <w:lang w:eastAsia="id-ID"/>
        </w:rPr>
      </w:pPr>
    </w:p>
    <w:p w:rsidR="00474D06" w:rsidRDefault="00474D06" w:rsidP="00474D06">
      <w:pPr>
        <w:rPr>
          <w:rFonts w:ascii="Times New Roman" w:eastAsia="Times New Roman" w:hAnsi="Times New Roman" w:cs="Times New Roman"/>
          <w:bCs/>
          <w:lang w:eastAsia="id-ID"/>
        </w:rPr>
      </w:pPr>
    </w:p>
    <w:p w:rsidR="00474D06" w:rsidRDefault="00474D06" w:rsidP="00474D06">
      <w:pPr>
        <w:rPr>
          <w:rFonts w:ascii="Times New Roman" w:eastAsia="Times New Roman" w:hAnsi="Times New Roman" w:cs="Times New Roman"/>
          <w:bCs/>
          <w:lang w:eastAsia="id-ID"/>
        </w:rPr>
      </w:pPr>
    </w:p>
    <w:p w:rsidR="00474D06" w:rsidRDefault="00474D06" w:rsidP="00474D06">
      <w:pPr>
        <w:rPr>
          <w:rFonts w:ascii="Times New Roman" w:eastAsia="Times New Roman" w:hAnsi="Times New Roman" w:cs="Times New Roman"/>
          <w:bCs/>
          <w:lang w:eastAsia="id-ID"/>
        </w:rPr>
      </w:pPr>
    </w:p>
    <w:p w:rsidR="00474D06" w:rsidRDefault="00474D06" w:rsidP="00474D06">
      <w:pPr>
        <w:rPr>
          <w:rFonts w:ascii="Times New Roman" w:eastAsia="Times New Roman" w:hAnsi="Times New Roman" w:cs="Times New Roman"/>
          <w:bCs/>
          <w:lang w:eastAsia="id-ID"/>
        </w:rPr>
      </w:pPr>
    </w:p>
    <w:p w:rsidR="00474D06" w:rsidRDefault="00474D06" w:rsidP="00474D06">
      <w:pPr>
        <w:rPr>
          <w:rFonts w:ascii="Times New Roman" w:eastAsia="Times New Roman" w:hAnsi="Times New Roman" w:cs="Times New Roman"/>
          <w:bCs/>
          <w:lang w:eastAsia="id-ID"/>
        </w:rPr>
      </w:pPr>
    </w:p>
    <w:p w:rsidR="00474D06" w:rsidRDefault="00474D06" w:rsidP="00474D06">
      <w:pPr>
        <w:rPr>
          <w:rFonts w:ascii="Times New Roman" w:eastAsia="Times New Roman" w:hAnsi="Times New Roman" w:cs="Times New Roman"/>
          <w:bCs/>
          <w:lang w:eastAsia="id-ID"/>
        </w:rPr>
      </w:pPr>
    </w:p>
    <w:p w:rsidR="00474D06" w:rsidRDefault="00474D06" w:rsidP="00474D06">
      <w:pPr>
        <w:rPr>
          <w:rFonts w:ascii="Times New Roman" w:eastAsia="Times New Roman" w:hAnsi="Times New Roman" w:cs="Times New Roman"/>
          <w:bCs/>
          <w:lang w:eastAsia="id-ID"/>
        </w:rPr>
      </w:pPr>
    </w:p>
    <w:p w:rsidR="00474D06" w:rsidRDefault="00474D06" w:rsidP="00474D06">
      <w:pPr>
        <w:rPr>
          <w:rFonts w:ascii="Times New Roman" w:eastAsia="Times New Roman" w:hAnsi="Times New Roman" w:cs="Times New Roman"/>
          <w:bCs/>
          <w:lang w:eastAsia="id-ID"/>
        </w:rPr>
      </w:pPr>
    </w:p>
    <w:p w:rsidR="00474D06" w:rsidRDefault="00474D06" w:rsidP="00474D06">
      <w:pPr>
        <w:rPr>
          <w:rFonts w:ascii="Times New Roman" w:eastAsia="Times New Roman" w:hAnsi="Times New Roman" w:cs="Times New Roman"/>
          <w:bCs/>
          <w:lang w:eastAsia="id-ID"/>
        </w:rPr>
      </w:pPr>
    </w:p>
    <w:p w:rsidR="00474D06" w:rsidRDefault="00474D06" w:rsidP="00474D06">
      <w:pPr>
        <w:rPr>
          <w:rFonts w:ascii="Times New Roman" w:eastAsia="Times New Roman" w:hAnsi="Times New Roman" w:cs="Times New Roman"/>
          <w:bCs/>
          <w:lang w:eastAsia="id-ID"/>
        </w:rPr>
      </w:pPr>
    </w:p>
    <w:p w:rsidR="00474D06" w:rsidRDefault="00474D06" w:rsidP="00474D06">
      <w:pPr>
        <w:rPr>
          <w:rFonts w:ascii="Times New Roman" w:eastAsia="Times New Roman" w:hAnsi="Times New Roman" w:cs="Times New Roman"/>
          <w:bCs/>
          <w:lang w:eastAsia="id-ID"/>
        </w:rPr>
      </w:pPr>
    </w:p>
    <w:p w:rsidR="00474D06" w:rsidRDefault="00474D06" w:rsidP="00474D06">
      <w:pPr>
        <w:rPr>
          <w:rFonts w:ascii="Times New Roman" w:eastAsia="Times New Roman" w:hAnsi="Times New Roman" w:cs="Times New Roman"/>
          <w:bCs/>
          <w:lang w:eastAsia="id-ID"/>
        </w:rPr>
      </w:pPr>
    </w:p>
    <w:p w:rsidR="00474D06" w:rsidRDefault="00474D06" w:rsidP="00474D06">
      <w:pPr>
        <w:rPr>
          <w:rFonts w:ascii="Times New Roman" w:eastAsia="Times New Roman" w:hAnsi="Times New Roman" w:cs="Times New Roman"/>
          <w:bCs/>
          <w:lang w:eastAsia="id-ID"/>
        </w:rPr>
      </w:pPr>
    </w:p>
    <w:p w:rsidR="00474D06" w:rsidRDefault="00474D06" w:rsidP="00474D06">
      <w:pPr>
        <w:rPr>
          <w:rFonts w:ascii="Times New Roman" w:eastAsia="Times New Roman" w:hAnsi="Times New Roman" w:cs="Times New Roman"/>
          <w:bCs/>
          <w:lang w:eastAsia="id-ID"/>
        </w:rPr>
      </w:pPr>
    </w:p>
    <w:p w:rsidR="00474D06" w:rsidRDefault="00474D06" w:rsidP="00474D06">
      <w:pPr>
        <w:rPr>
          <w:rFonts w:ascii="Times New Roman" w:eastAsia="Times New Roman" w:hAnsi="Times New Roman" w:cs="Times New Roman"/>
          <w:bCs/>
          <w:lang w:eastAsia="id-ID"/>
        </w:rPr>
      </w:pPr>
    </w:p>
    <w:p w:rsidR="00474D06" w:rsidRPr="00474D06" w:rsidRDefault="00474D06" w:rsidP="00474D06">
      <w:pPr>
        <w:rPr>
          <w:rFonts w:ascii="Times New Roman" w:eastAsia="Times New Roman" w:hAnsi="Times New Roman" w:cs="Times New Roman"/>
          <w:bCs/>
          <w:lang w:eastAsia="id-ID"/>
        </w:rPr>
      </w:pPr>
    </w:p>
    <w:p w:rsidR="00F00065" w:rsidRPr="00E61652" w:rsidRDefault="00F00065" w:rsidP="00C41941">
      <w:pPr>
        <w:jc w:val="center"/>
        <w:rPr>
          <w:rFonts w:ascii="Times New Roman" w:eastAsia="Times New Roman" w:hAnsi="Times New Roman" w:cs="Times New Roman"/>
          <w:bCs/>
          <w:lang w:val="en-GB" w:eastAsia="id-ID"/>
        </w:rPr>
      </w:pPr>
    </w:p>
    <w:p w:rsidR="00C41941" w:rsidRPr="00E61652" w:rsidRDefault="00C41941" w:rsidP="00C41941">
      <w:pPr>
        <w:jc w:val="center"/>
        <w:rPr>
          <w:rFonts w:ascii="Times New Roman" w:eastAsia="Times New Roman" w:hAnsi="Times New Roman" w:cs="Times New Roman"/>
          <w:lang w:eastAsia="id-ID"/>
        </w:rPr>
      </w:pPr>
      <w:r w:rsidRPr="00E61652">
        <w:rPr>
          <w:rFonts w:ascii="Times New Roman" w:eastAsia="Times New Roman" w:hAnsi="Times New Roman" w:cs="Times New Roman"/>
          <w:b/>
          <w:bCs/>
          <w:lang w:eastAsia="id-ID"/>
        </w:rPr>
        <w:t xml:space="preserve">Table </w:t>
      </w:r>
      <w:r w:rsidRPr="00E61652">
        <w:rPr>
          <w:rFonts w:ascii="Times New Roman" w:eastAsia="Times New Roman" w:hAnsi="Times New Roman" w:cs="Times New Roman"/>
          <w:b/>
          <w:bCs/>
          <w:lang w:val="en-GB" w:eastAsia="id-ID"/>
        </w:rPr>
        <w:t>2.</w:t>
      </w:r>
      <w:r w:rsidRPr="00E61652">
        <w:rPr>
          <w:rFonts w:ascii="Times New Roman" w:eastAsia="Times New Roman" w:hAnsi="Times New Roman" w:cs="Times New Roman"/>
          <w:b/>
          <w:bCs/>
          <w:lang w:eastAsia="id-ID"/>
        </w:rPr>
        <w:t xml:space="preserve"> Bivariat </w:t>
      </w:r>
      <w:r w:rsidRPr="00E61652">
        <w:rPr>
          <w:rFonts w:ascii="Times New Roman" w:eastAsia="Times New Roman" w:hAnsi="Times New Roman" w:cs="Times New Roman"/>
          <w:b/>
          <w:bCs/>
          <w:lang w:val="en-GB" w:eastAsia="id-ID"/>
        </w:rPr>
        <w:t>a</w:t>
      </w:r>
      <w:r w:rsidRPr="00E61652">
        <w:rPr>
          <w:rFonts w:ascii="Times New Roman" w:eastAsia="Times New Roman" w:hAnsi="Times New Roman" w:cs="Times New Roman"/>
          <w:b/>
          <w:bCs/>
          <w:lang w:eastAsia="id-ID"/>
        </w:rPr>
        <w:t xml:space="preserve">nalysis </w:t>
      </w:r>
      <w:r w:rsidRPr="00E61652">
        <w:rPr>
          <w:rFonts w:ascii="Times New Roman" w:eastAsia="Times New Roman" w:hAnsi="Times New Roman" w:cs="Times New Roman"/>
          <w:b/>
          <w:bCs/>
          <w:lang w:val="en-GB" w:eastAsia="id-ID"/>
        </w:rPr>
        <w:t>correlation risk factors</w:t>
      </w:r>
      <w:r w:rsidRPr="00E61652">
        <w:rPr>
          <w:rFonts w:ascii="Times New Roman" w:eastAsia="Times New Roman" w:hAnsi="Times New Roman" w:cs="Times New Roman"/>
          <w:b/>
          <w:bCs/>
          <w:lang w:eastAsia="id-ID"/>
        </w:rPr>
        <w:t xml:space="preserve"> with </w:t>
      </w:r>
      <w:r w:rsidRPr="00E61652">
        <w:rPr>
          <w:rFonts w:ascii="Times New Roman" w:eastAsia="Times New Roman" w:hAnsi="Times New Roman" w:cs="Times New Roman"/>
          <w:b/>
          <w:bCs/>
          <w:lang w:val="en-GB" w:eastAsia="id-ID"/>
        </w:rPr>
        <w:t>h</w:t>
      </w:r>
      <w:r w:rsidRPr="00E61652">
        <w:rPr>
          <w:rFonts w:ascii="Times New Roman" w:eastAsia="Times New Roman" w:hAnsi="Times New Roman" w:cs="Times New Roman"/>
          <w:b/>
          <w:bCs/>
          <w:lang w:eastAsia="id-ID"/>
        </w:rPr>
        <w:t xml:space="preserve">yperuricemia, Depok </w:t>
      </w:r>
    </w:p>
    <w:tbl>
      <w:tblPr>
        <w:tblW w:w="9634" w:type="dxa"/>
        <w:jc w:val="center"/>
        <w:tblInd w:w="-5" w:type="dxa"/>
        <w:tblCellMar>
          <w:top w:w="15" w:type="dxa"/>
          <w:left w:w="15" w:type="dxa"/>
          <w:bottom w:w="15" w:type="dxa"/>
          <w:right w:w="15" w:type="dxa"/>
        </w:tblCellMar>
        <w:tblLook w:val="04A0"/>
      </w:tblPr>
      <w:tblGrid>
        <w:gridCol w:w="2920"/>
        <w:gridCol w:w="1204"/>
        <w:gridCol w:w="1755"/>
        <w:gridCol w:w="1003"/>
        <w:gridCol w:w="1057"/>
        <w:gridCol w:w="754"/>
        <w:gridCol w:w="941"/>
      </w:tblGrid>
      <w:tr w:rsidR="00022166" w:rsidRPr="00E61652" w:rsidTr="0043791B">
        <w:trPr>
          <w:tblHeader/>
          <w:jc w:val="center"/>
        </w:trPr>
        <w:tc>
          <w:tcPr>
            <w:tcW w:w="2920" w:type="dxa"/>
            <w:vMerge w:val="restart"/>
            <w:tcBorders>
              <w:top w:val="double" w:sz="6" w:space="0" w:color="000000"/>
              <w:left w:val="nil"/>
              <w:bottom w:val="single" w:sz="8" w:space="0" w:color="000000"/>
              <w:right w:val="nil"/>
            </w:tcBorders>
            <w:shd w:val="clear" w:color="auto" w:fill="FFFFFF"/>
            <w:noWrap/>
            <w:hideMark/>
          </w:tcPr>
          <w:p w:rsidR="00C41941" w:rsidRPr="00E61652" w:rsidRDefault="00C41941" w:rsidP="007128B9">
            <w:pPr>
              <w:ind w:left="100" w:right="100"/>
              <w:jc w:val="center"/>
              <w:rPr>
                <w:rFonts w:ascii="Times New Roman" w:eastAsia="Times New Roman" w:hAnsi="Times New Roman" w:cs="Times New Roman"/>
                <w:sz w:val="20"/>
                <w:szCs w:val="20"/>
                <w:lang w:eastAsia="id-ID"/>
              </w:rPr>
            </w:pPr>
            <w:bookmarkStart w:id="0" w:name="table01"/>
            <w:bookmarkEnd w:id="0"/>
            <w:r w:rsidRPr="00E61652">
              <w:rPr>
                <w:rFonts w:ascii="Times New Roman" w:eastAsia="Times New Roman" w:hAnsi="Times New Roman" w:cs="Times New Roman"/>
                <w:bCs/>
                <w:sz w:val="20"/>
                <w:szCs w:val="20"/>
                <w:lang w:eastAsia="id-ID"/>
              </w:rPr>
              <w:t>Variables</w:t>
            </w:r>
          </w:p>
        </w:tc>
        <w:tc>
          <w:tcPr>
            <w:tcW w:w="2959" w:type="dxa"/>
            <w:gridSpan w:val="2"/>
            <w:tcBorders>
              <w:top w:val="double" w:sz="6" w:space="0" w:color="000000"/>
              <w:left w:val="nil"/>
              <w:bottom w:val="single" w:sz="8" w:space="0" w:color="000000"/>
              <w:right w:val="nil"/>
            </w:tcBorders>
            <w:shd w:val="clear" w:color="auto" w:fill="FFFFFF"/>
            <w:hideMark/>
          </w:tcPr>
          <w:p w:rsidR="00C41941" w:rsidRPr="00E61652" w:rsidRDefault="00C41941" w:rsidP="007128B9">
            <w:pPr>
              <w:ind w:left="100" w:right="10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bCs/>
                <w:sz w:val="20"/>
                <w:szCs w:val="20"/>
                <w:lang w:eastAsia="id-ID"/>
              </w:rPr>
              <w:t>Uric Acid</w:t>
            </w:r>
          </w:p>
        </w:tc>
        <w:tc>
          <w:tcPr>
            <w:tcW w:w="1003" w:type="dxa"/>
            <w:vMerge w:val="restart"/>
            <w:tcBorders>
              <w:top w:val="double" w:sz="6" w:space="0" w:color="000000"/>
              <w:left w:val="nil"/>
              <w:bottom w:val="single" w:sz="8" w:space="0" w:color="000000"/>
              <w:right w:val="nil"/>
            </w:tcBorders>
            <w:hideMark/>
          </w:tcPr>
          <w:p w:rsidR="00C41941" w:rsidRPr="00E61652" w:rsidRDefault="00C41941" w:rsidP="007128B9">
            <w:pPr>
              <w:ind w:left="100" w:right="10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bCs/>
                <w:i/>
                <w:iCs/>
                <w:sz w:val="20"/>
                <w:szCs w:val="20"/>
                <w:lang w:eastAsia="id-ID"/>
              </w:rPr>
              <w:t>P value</w:t>
            </w:r>
          </w:p>
        </w:tc>
        <w:tc>
          <w:tcPr>
            <w:tcW w:w="1057" w:type="dxa"/>
            <w:vMerge w:val="restart"/>
            <w:tcBorders>
              <w:top w:val="double" w:sz="6" w:space="0" w:color="000000"/>
              <w:left w:val="nil"/>
              <w:right w:val="nil"/>
            </w:tcBorders>
          </w:tcPr>
          <w:p w:rsidR="00C41941" w:rsidRPr="00E61652" w:rsidRDefault="00C41941" w:rsidP="007128B9">
            <w:pPr>
              <w:ind w:left="100" w:right="100"/>
              <w:jc w:val="center"/>
              <w:rPr>
                <w:rFonts w:ascii="Times New Roman" w:eastAsia="Times New Roman" w:hAnsi="Times New Roman" w:cs="Times New Roman"/>
                <w:bCs/>
                <w:i/>
                <w:iCs/>
                <w:sz w:val="20"/>
                <w:szCs w:val="20"/>
                <w:lang w:val="en-GB" w:eastAsia="id-ID"/>
              </w:rPr>
            </w:pPr>
            <w:r w:rsidRPr="00E61652">
              <w:rPr>
                <w:rFonts w:ascii="Times New Roman" w:eastAsia="Times New Roman" w:hAnsi="Times New Roman" w:cs="Times New Roman"/>
                <w:bCs/>
                <w:i/>
                <w:iCs/>
                <w:sz w:val="20"/>
                <w:szCs w:val="20"/>
                <w:lang w:val="en-GB" w:eastAsia="id-ID"/>
              </w:rPr>
              <w:t>OR</w:t>
            </w:r>
          </w:p>
        </w:tc>
        <w:tc>
          <w:tcPr>
            <w:tcW w:w="1695" w:type="dxa"/>
            <w:gridSpan w:val="2"/>
            <w:tcBorders>
              <w:top w:val="double" w:sz="6" w:space="0" w:color="000000"/>
              <w:left w:val="nil"/>
              <w:bottom w:val="single" w:sz="8" w:space="0" w:color="000000"/>
              <w:right w:val="nil"/>
            </w:tcBorders>
          </w:tcPr>
          <w:p w:rsidR="00C41941" w:rsidRPr="00E61652" w:rsidRDefault="00C41941" w:rsidP="007128B9">
            <w:pPr>
              <w:ind w:left="100" w:right="100"/>
              <w:jc w:val="center"/>
              <w:rPr>
                <w:rFonts w:ascii="Times New Roman" w:eastAsia="Times New Roman" w:hAnsi="Times New Roman" w:cs="Times New Roman"/>
                <w:bCs/>
                <w:i/>
                <w:iCs/>
                <w:sz w:val="20"/>
                <w:szCs w:val="20"/>
                <w:lang w:val="en-GB" w:eastAsia="id-ID"/>
              </w:rPr>
            </w:pPr>
            <w:r w:rsidRPr="00E61652">
              <w:rPr>
                <w:rFonts w:ascii="Times New Roman" w:eastAsia="Times New Roman" w:hAnsi="Times New Roman" w:cs="Times New Roman"/>
                <w:bCs/>
                <w:i/>
                <w:iCs/>
                <w:sz w:val="20"/>
                <w:szCs w:val="20"/>
                <w:lang w:val="en-GB" w:eastAsia="id-ID"/>
              </w:rPr>
              <w:t>95% CI</w:t>
            </w:r>
          </w:p>
        </w:tc>
      </w:tr>
      <w:tr w:rsidR="00022166" w:rsidRPr="00E61652" w:rsidTr="0043791B">
        <w:trPr>
          <w:tblHeader/>
          <w:jc w:val="center"/>
        </w:trPr>
        <w:tc>
          <w:tcPr>
            <w:tcW w:w="2920" w:type="dxa"/>
            <w:vMerge/>
            <w:tcBorders>
              <w:top w:val="double" w:sz="6" w:space="0" w:color="000000"/>
              <w:left w:val="nil"/>
              <w:bottom w:val="single" w:sz="8" w:space="0" w:color="000000"/>
              <w:right w:val="nil"/>
            </w:tcBorders>
            <w:vAlign w:val="center"/>
            <w:hideMark/>
          </w:tcPr>
          <w:p w:rsidR="00C41941" w:rsidRPr="00E61652" w:rsidRDefault="00C41941" w:rsidP="007128B9">
            <w:pPr>
              <w:rPr>
                <w:rFonts w:ascii="Times New Roman" w:eastAsia="Times New Roman" w:hAnsi="Times New Roman" w:cs="Times New Roman"/>
                <w:sz w:val="20"/>
                <w:szCs w:val="20"/>
                <w:lang w:eastAsia="id-ID"/>
              </w:rPr>
            </w:pPr>
          </w:p>
        </w:tc>
        <w:tc>
          <w:tcPr>
            <w:tcW w:w="1204" w:type="dxa"/>
            <w:tcBorders>
              <w:top w:val="single" w:sz="8" w:space="0" w:color="000000"/>
              <w:left w:val="nil"/>
              <w:bottom w:val="single" w:sz="8" w:space="0" w:color="000000"/>
              <w:right w:val="nil"/>
            </w:tcBorders>
            <w:shd w:val="clear" w:color="auto" w:fill="FFFFFF"/>
            <w:hideMark/>
          </w:tcPr>
          <w:p w:rsidR="00C41941" w:rsidRPr="00E61652" w:rsidRDefault="00C41941" w:rsidP="007128B9">
            <w:pPr>
              <w:ind w:left="100" w:right="10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bCs/>
                <w:sz w:val="20"/>
                <w:szCs w:val="20"/>
                <w:lang w:eastAsia="id-ID"/>
              </w:rPr>
              <w:t>Normal (%)</w:t>
            </w:r>
          </w:p>
        </w:tc>
        <w:tc>
          <w:tcPr>
            <w:tcW w:w="1755" w:type="dxa"/>
            <w:tcBorders>
              <w:top w:val="single" w:sz="8" w:space="0" w:color="000000"/>
              <w:left w:val="nil"/>
              <w:bottom w:val="single" w:sz="8" w:space="0" w:color="000000"/>
              <w:right w:val="nil"/>
            </w:tcBorders>
            <w:shd w:val="clear" w:color="auto" w:fill="FFFFFF"/>
            <w:hideMark/>
          </w:tcPr>
          <w:p w:rsidR="00C41941" w:rsidRPr="00E61652" w:rsidRDefault="00C41941" w:rsidP="007128B9">
            <w:pPr>
              <w:ind w:left="100" w:right="10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bCs/>
                <w:sz w:val="20"/>
                <w:szCs w:val="20"/>
                <w:lang w:eastAsia="id-ID"/>
              </w:rPr>
              <w:t>Hyperuricemia (%)</w:t>
            </w:r>
          </w:p>
        </w:tc>
        <w:tc>
          <w:tcPr>
            <w:tcW w:w="0" w:type="auto"/>
            <w:vMerge/>
            <w:tcBorders>
              <w:top w:val="double" w:sz="6" w:space="0" w:color="000000"/>
              <w:left w:val="nil"/>
              <w:bottom w:val="single" w:sz="8" w:space="0" w:color="000000"/>
              <w:right w:val="nil"/>
            </w:tcBorders>
            <w:vAlign w:val="center"/>
            <w:hideMark/>
          </w:tcPr>
          <w:p w:rsidR="00C41941" w:rsidRPr="00E61652" w:rsidRDefault="00C41941" w:rsidP="007128B9">
            <w:pPr>
              <w:rPr>
                <w:rFonts w:ascii="Times New Roman" w:eastAsia="Times New Roman" w:hAnsi="Times New Roman" w:cs="Times New Roman"/>
                <w:sz w:val="20"/>
                <w:szCs w:val="20"/>
                <w:lang w:eastAsia="id-ID"/>
              </w:rPr>
            </w:pPr>
          </w:p>
        </w:tc>
        <w:tc>
          <w:tcPr>
            <w:tcW w:w="1057" w:type="dxa"/>
            <w:vMerge/>
            <w:tcBorders>
              <w:left w:val="nil"/>
              <w:bottom w:val="single" w:sz="8" w:space="0" w:color="000000"/>
              <w:right w:val="nil"/>
            </w:tcBorders>
          </w:tcPr>
          <w:p w:rsidR="00C41941" w:rsidRPr="00E61652" w:rsidRDefault="00C41941" w:rsidP="007128B9">
            <w:pPr>
              <w:rPr>
                <w:rFonts w:ascii="Times New Roman" w:eastAsia="Times New Roman" w:hAnsi="Times New Roman" w:cs="Times New Roman"/>
                <w:sz w:val="20"/>
                <w:szCs w:val="20"/>
                <w:lang w:eastAsia="id-ID"/>
              </w:rPr>
            </w:pPr>
          </w:p>
        </w:tc>
        <w:tc>
          <w:tcPr>
            <w:tcW w:w="754" w:type="dxa"/>
            <w:tcBorders>
              <w:top w:val="double" w:sz="6" w:space="0" w:color="000000"/>
              <w:left w:val="nil"/>
              <w:bottom w:val="single" w:sz="8" w:space="0" w:color="000000"/>
              <w:right w:val="nil"/>
            </w:tcBorders>
          </w:tcPr>
          <w:p w:rsidR="00C41941" w:rsidRPr="00E61652" w:rsidRDefault="00C41941" w:rsidP="007128B9">
            <w:pP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Min</w:t>
            </w:r>
          </w:p>
        </w:tc>
        <w:tc>
          <w:tcPr>
            <w:tcW w:w="941" w:type="dxa"/>
            <w:tcBorders>
              <w:top w:val="double" w:sz="6" w:space="0" w:color="000000"/>
              <w:left w:val="nil"/>
              <w:bottom w:val="single" w:sz="8" w:space="0" w:color="000000"/>
              <w:right w:val="nil"/>
            </w:tcBorders>
          </w:tcPr>
          <w:p w:rsidR="00C41941" w:rsidRPr="00E61652" w:rsidRDefault="00C41941" w:rsidP="007128B9">
            <w:pP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Max</w:t>
            </w:r>
          </w:p>
        </w:tc>
      </w:tr>
      <w:tr w:rsidR="00022166" w:rsidRPr="00E61652" w:rsidTr="0043791B">
        <w:trPr>
          <w:jc w:val="center"/>
        </w:trPr>
        <w:tc>
          <w:tcPr>
            <w:tcW w:w="2920" w:type="dxa"/>
            <w:tcBorders>
              <w:top w:val="single" w:sz="8" w:space="0" w:color="000000"/>
              <w:left w:val="nil"/>
              <w:bottom w:val="nil"/>
              <w:right w:val="nil"/>
            </w:tcBorders>
            <w:shd w:val="clear" w:color="auto" w:fill="FFFFFF"/>
            <w:hideMark/>
          </w:tcPr>
          <w:p w:rsidR="00C41941" w:rsidRPr="00E61652" w:rsidRDefault="00C41941" w:rsidP="007128B9">
            <w:pPr>
              <w:ind w:left="100" w:right="10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bCs/>
                <w:sz w:val="20"/>
                <w:szCs w:val="20"/>
                <w:lang w:eastAsia="id-ID"/>
              </w:rPr>
              <w:t>Age (years)</w:t>
            </w:r>
          </w:p>
        </w:tc>
        <w:tc>
          <w:tcPr>
            <w:tcW w:w="1204" w:type="dxa"/>
            <w:tcBorders>
              <w:top w:val="single" w:sz="8" w:space="0" w:color="000000"/>
              <w:left w:val="nil"/>
              <w:bottom w:val="nil"/>
              <w:right w:val="nil"/>
            </w:tcBorders>
            <w:shd w:val="clear" w:color="auto" w:fill="FFFFFF"/>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755" w:type="dxa"/>
            <w:tcBorders>
              <w:top w:val="single" w:sz="8" w:space="0" w:color="000000"/>
              <w:left w:val="nil"/>
              <w:bottom w:val="nil"/>
              <w:right w:val="nil"/>
            </w:tcBorders>
            <w:shd w:val="clear" w:color="auto" w:fill="FFFFFF"/>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003" w:type="dxa"/>
            <w:tcBorders>
              <w:top w:val="single" w:sz="8" w:space="0" w:color="000000"/>
              <w:left w:val="nil"/>
              <w:bottom w:val="nil"/>
              <w:right w:val="nil"/>
            </w:tcBorders>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057" w:type="dxa"/>
            <w:tcBorders>
              <w:top w:val="single" w:sz="8" w:space="0" w:color="000000"/>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754" w:type="dxa"/>
            <w:tcBorders>
              <w:top w:val="single" w:sz="8" w:space="0" w:color="000000"/>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941" w:type="dxa"/>
            <w:tcBorders>
              <w:top w:val="single" w:sz="8" w:space="0" w:color="000000"/>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r>
      <w:tr w:rsidR="00022166" w:rsidRPr="00E61652" w:rsidTr="0043791B">
        <w:trPr>
          <w:trHeight w:val="150"/>
          <w:jc w:val="center"/>
        </w:trPr>
        <w:tc>
          <w:tcPr>
            <w:tcW w:w="2920" w:type="dxa"/>
            <w:tcBorders>
              <w:top w:val="nil"/>
              <w:left w:val="nil"/>
              <w:bottom w:val="nil"/>
              <w:right w:val="nil"/>
            </w:tcBorders>
            <w:shd w:val="clear" w:color="auto" w:fill="FFFFFF"/>
            <w:hideMark/>
          </w:tcPr>
          <w:p w:rsidR="00C41941" w:rsidRPr="00E61652" w:rsidRDefault="00C41941" w:rsidP="007128B9">
            <w:pPr>
              <w:spacing w:line="150" w:lineRule="atLeast"/>
              <w:ind w:left="1100" w:right="100" w:hanging="72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Less than 50 years</w:t>
            </w:r>
          </w:p>
        </w:tc>
        <w:tc>
          <w:tcPr>
            <w:tcW w:w="1204" w:type="dxa"/>
            <w:tcBorders>
              <w:top w:val="nil"/>
              <w:left w:val="nil"/>
              <w:bottom w:val="nil"/>
              <w:right w:val="nil"/>
            </w:tcBorders>
            <w:shd w:val="clear" w:color="auto" w:fill="FFFFFF"/>
            <w:hideMark/>
          </w:tcPr>
          <w:p w:rsidR="00C41941" w:rsidRPr="00E61652" w:rsidRDefault="00C41941" w:rsidP="007128B9">
            <w:pPr>
              <w:spacing w:line="150" w:lineRule="atLeast"/>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38 (88.4)</w:t>
            </w:r>
          </w:p>
        </w:tc>
        <w:tc>
          <w:tcPr>
            <w:tcW w:w="1755" w:type="dxa"/>
            <w:tcBorders>
              <w:top w:val="nil"/>
              <w:left w:val="nil"/>
              <w:bottom w:val="nil"/>
              <w:right w:val="nil"/>
            </w:tcBorders>
            <w:shd w:val="clear" w:color="auto" w:fill="FFFFFF"/>
            <w:hideMark/>
          </w:tcPr>
          <w:p w:rsidR="00C41941" w:rsidRPr="00E61652" w:rsidRDefault="00C41941" w:rsidP="007128B9">
            <w:pPr>
              <w:spacing w:line="150" w:lineRule="atLeast"/>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5 (11.6)</w:t>
            </w:r>
          </w:p>
        </w:tc>
        <w:tc>
          <w:tcPr>
            <w:tcW w:w="1003" w:type="dxa"/>
            <w:tcBorders>
              <w:top w:val="nil"/>
              <w:left w:val="nil"/>
              <w:bottom w:val="nil"/>
              <w:right w:val="nil"/>
            </w:tcBorders>
            <w:hideMark/>
          </w:tcPr>
          <w:p w:rsidR="00C41941" w:rsidRPr="00E61652" w:rsidRDefault="00C41941" w:rsidP="007128B9">
            <w:pPr>
              <w:spacing w:line="150" w:lineRule="atLeast"/>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eastAsia="id-ID"/>
              </w:rPr>
              <w:t>0,117</w:t>
            </w:r>
          </w:p>
        </w:tc>
        <w:tc>
          <w:tcPr>
            <w:tcW w:w="1057" w:type="dxa"/>
            <w:tcBorders>
              <w:top w:val="nil"/>
              <w:left w:val="nil"/>
              <w:bottom w:val="nil"/>
              <w:right w:val="nil"/>
            </w:tcBorders>
          </w:tcPr>
          <w:p w:rsidR="00C41941" w:rsidRPr="00E61652" w:rsidRDefault="00C41941" w:rsidP="007128B9">
            <w:pPr>
              <w:spacing w:line="150" w:lineRule="atLeast"/>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3.2</w:t>
            </w:r>
          </w:p>
        </w:tc>
        <w:tc>
          <w:tcPr>
            <w:tcW w:w="754" w:type="dxa"/>
            <w:tcBorders>
              <w:top w:val="nil"/>
              <w:left w:val="nil"/>
              <w:bottom w:val="nil"/>
              <w:right w:val="nil"/>
            </w:tcBorders>
          </w:tcPr>
          <w:p w:rsidR="00C41941" w:rsidRPr="00E61652" w:rsidRDefault="00C41941" w:rsidP="007128B9">
            <w:pPr>
              <w:spacing w:line="150" w:lineRule="atLeast"/>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0.92</w:t>
            </w:r>
          </w:p>
        </w:tc>
        <w:tc>
          <w:tcPr>
            <w:tcW w:w="941" w:type="dxa"/>
            <w:tcBorders>
              <w:top w:val="nil"/>
              <w:left w:val="nil"/>
              <w:bottom w:val="nil"/>
              <w:right w:val="nil"/>
            </w:tcBorders>
          </w:tcPr>
          <w:p w:rsidR="00C41941" w:rsidRPr="00E61652" w:rsidRDefault="00C41941" w:rsidP="007128B9">
            <w:pPr>
              <w:spacing w:line="150" w:lineRule="atLeast"/>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11.12</w:t>
            </w:r>
          </w:p>
        </w:tc>
      </w:tr>
      <w:tr w:rsidR="00022166" w:rsidRPr="00E61652" w:rsidTr="0043791B">
        <w:trPr>
          <w:jc w:val="center"/>
        </w:trPr>
        <w:tc>
          <w:tcPr>
            <w:tcW w:w="2920" w:type="dxa"/>
            <w:tcBorders>
              <w:top w:val="nil"/>
              <w:left w:val="nil"/>
              <w:bottom w:val="nil"/>
              <w:right w:val="nil"/>
            </w:tcBorders>
            <w:shd w:val="clear" w:color="auto" w:fill="FFFFFF"/>
            <w:hideMark/>
          </w:tcPr>
          <w:p w:rsidR="00C41941" w:rsidRPr="00E61652" w:rsidRDefault="00C41941" w:rsidP="007128B9">
            <w:pPr>
              <w:ind w:left="1100" w:right="100" w:hanging="72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50 years and over</w:t>
            </w:r>
          </w:p>
        </w:tc>
        <w:tc>
          <w:tcPr>
            <w:tcW w:w="1204" w:type="dxa"/>
            <w:tcBorders>
              <w:top w:val="nil"/>
              <w:left w:val="nil"/>
              <w:bottom w:val="nil"/>
              <w:right w:val="nil"/>
            </w:tcBorders>
            <w:shd w:val="clear" w:color="auto" w:fill="FFFFFF"/>
            <w:hideMark/>
          </w:tcPr>
          <w:p w:rsidR="00C41941" w:rsidRPr="00E61652" w:rsidRDefault="00C41941" w:rsidP="007128B9">
            <w:pPr>
              <w:ind w:left="100" w:right="10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19 (70.4)</w:t>
            </w:r>
          </w:p>
        </w:tc>
        <w:tc>
          <w:tcPr>
            <w:tcW w:w="1755" w:type="dxa"/>
            <w:tcBorders>
              <w:top w:val="nil"/>
              <w:left w:val="nil"/>
              <w:bottom w:val="nil"/>
              <w:right w:val="nil"/>
            </w:tcBorders>
            <w:shd w:val="clear" w:color="auto" w:fill="FFFFFF"/>
            <w:hideMark/>
          </w:tcPr>
          <w:p w:rsidR="00C41941" w:rsidRPr="00E61652" w:rsidRDefault="00C41941" w:rsidP="007128B9">
            <w:pPr>
              <w:ind w:left="100" w:right="10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8 (29.6)</w:t>
            </w:r>
          </w:p>
        </w:tc>
        <w:tc>
          <w:tcPr>
            <w:tcW w:w="1003" w:type="dxa"/>
            <w:tcBorders>
              <w:top w:val="nil"/>
              <w:left w:val="nil"/>
              <w:bottom w:val="nil"/>
              <w:right w:val="nil"/>
            </w:tcBorders>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057"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754"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941"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r>
      <w:tr w:rsidR="00022166" w:rsidRPr="00E61652" w:rsidTr="0043791B">
        <w:trPr>
          <w:jc w:val="center"/>
        </w:trPr>
        <w:tc>
          <w:tcPr>
            <w:tcW w:w="2920" w:type="dxa"/>
            <w:tcBorders>
              <w:top w:val="nil"/>
              <w:left w:val="nil"/>
              <w:bottom w:val="nil"/>
              <w:right w:val="nil"/>
            </w:tcBorders>
            <w:shd w:val="clear" w:color="auto" w:fill="FFFFFF"/>
            <w:hideMark/>
          </w:tcPr>
          <w:p w:rsidR="00C41941" w:rsidRPr="00E61652" w:rsidRDefault="00C41941" w:rsidP="007128B9">
            <w:pPr>
              <w:ind w:left="1100" w:right="100" w:hanging="72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bCs/>
                <w:sz w:val="20"/>
                <w:szCs w:val="20"/>
                <w:lang w:val="en-GB" w:eastAsia="id-ID"/>
              </w:rPr>
              <w:t>Gender</w:t>
            </w:r>
          </w:p>
        </w:tc>
        <w:tc>
          <w:tcPr>
            <w:tcW w:w="1204" w:type="dxa"/>
            <w:tcBorders>
              <w:top w:val="nil"/>
              <w:left w:val="nil"/>
              <w:bottom w:val="nil"/>
              <w:right w:val="nil"/>
            </w:tcBorders>
            <w:shd w:val="clear" w:color="auto" w:fill="FFFFFF"/>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755" w:type="dxa"/>
            <w:tcBorders>
              <w:top w:val="nil"/>
              <w:left w:val="nil"/>
              <w:bottom w:val="nil"/>
              <w:right w:val="nil"/>
            </w:tcBorders>
            <w:shd w:val="clear" w:color="auto" w:fill="FFFFFF"/>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003" w:type="dxa"/>
            <w:tcBorders>
              <w:top w:val="nil"/>
              <w:left w:val="nil"/>
              <w:bottom w:val="nil"/>
              <w:right w:val="nil"/>
            </w:tcBorders>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057"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754"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941"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r>
      <w:tr w:rsidR="00022166" w:rsidRPr="00E61652" w:rsidTr="0043791B">
        <w:trPr>
          <w:jc w:val="center"/>
        </w:trPr>
        <w:tc>
          <w:tcPr>
            <w:tcW w:w="2920" w:type="dxa"/>
            <w:tcBorders>
              <w:top w:val="nil"/>
              <w:left w:val="nil"/>
              <w:bottom w:val="nil"/>
              <w:right w:val="nil"/>
            </w:tcBorders>
            <w:shd w:val="clear" w:color="auto" w:fill="FFFFFF"/>
            <w:hideMark/>
          </w:tcPr>
          <w:p w:rsidR="00C41941" w:rsidRPr="00E61652" w:rsidRDefault="00C41941" w:rsidP="007128B9">
            <w:pPr>
              <w:ind w:left="1100" w:right="100" w:hanging="72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Male</w:t>
            </w:r>
          </w:p>
        </w:tc>
        <w:tc>
          <w:tcPr>
            <w:tcW w:w="1204" w:type="dxa"/>
            <w:tcBorders>
              <w:top w:val="nil"/>
              <w:left w:val="nil"/>
              <w:bottom w:val="nil"/>
              <w:right w:val="nil"/>
            </w:tcBorders>
            <w:shd w:val="clear" w:color="auto" w:fill="FFFFFF"/>
            <w:hideMark/>
          </w:tcPr>
          <w:p w:rsidR="00C41941" w:rsidRPr="00E61652" w:rsidRDefault="00C41941" w:rsidP="007128B9">
            <w:pPr>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9 (60.0)</w:t>
            </w:r>
          </w:p>
        </w:tc>
        <w:tc>
          <w:tcPr>
            <w:tcW w:w="1755" w:type="dxa"/>
            <w:tcBorders>
              <w:top w:val="nil"/>
              <w:left w:val="nil"/>
              <w:bottom w:val="nil"/>
              <w:right w:val="nil"/>
            </w:tcBorders>
            <w:shd w:val="clear" w:color="auto" w:fill="FFFFFF"/>
            <w:hideMark/>
          </w:tcPr>
          <w:p w:rsidR="00C41941" w:rsidRPr="00E61652" w:rsidRDefault="00C41941" w:rsidP="007128B9">
            <w:pPr>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6 (40)</w:t>
            </w:r>
          </w:p>
        </w:tc>
        <w:tc>
          <w:tcPr>
            <w:tcW w:w="1003" w:type="dxa"/>
            <w:tcBorders>
              <w:top w:val="nil"/>
              <w:left w:val="nil"/>
              <w:bottom w:val="nil"/>
              <w:right w:val="nil"/>
            </w:tcBorders>
            <w:hideMark/>
          </w:tcPr>
          <w:p w:rsidR="00C41941" w:rsidRPr="00E61652" w:rsidRDefault="00C41941" w:rsidP="007128B9">
            <w:pPr>
              <w:ind w:left="100" w:right="10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bCs/>
                <w:sz w:val="20"/>
                <w:szCs w:val="20"/>
                <w:lang w:eastAsia="id-ID"/>
              </w:rPr>
              <w:t>0.026 *)</w:t>
            </w:r>
          </w:p>
        </w:tc>
        <w:tc>
          <w:tcPr>
            <w:tcW w:w="1057" w:type="dxa"/>
            <w:tcBorders>
              <w:top w:val="nil"/>
              <w:left w:val="nil"/>
              <w:bottom w:val="nil"/>
              <w:right w:val="nil"/>
            </w:tcBorders>
          </w:tcPr>
          <w:p w:rsidR="00C41941" w:rsidRPr="00E61652" w:rsidRDefault="00C41941" w:rsidP="007128B9">
            <w:pPr>
              <w:ind w:left="100" w:right="100"/>
              <w:jc w:val="center"/>
              <w:rPr>
                <w:rFonts w:ascii="Times New Roman" w:eastAsia="Times New Roman" w:hAnsi="Times New Roman" w:cs="Times New Roman"/>
                <w:bCs/>
                <w:sz w:val="20"/>
                <w:szCs w:val="20"/>
                <w:lang w:val="en-GB" w:eastAsia="id-ID"/>
              </w:rPr>
            </w:pPr>
            <w:r w:rsidRPr="00E61652">
              <w:rPr>
                <w:rFonts w:ascii="Times New Roman" w:eastAsia="Times New Roman" w:hAnsi="Times New Roman" w:cs="Times New Roman"/>
                <w:bCs/>
                <w:sz w:val="20"/>
                <w:szCs w:val="20"/>
                <w:lang w:val="en-GB" w:eastAsia="id-ID"/>
              </w:rPr>
              <w:t>0.22</w:t>
            </w:r>
          </w:p>
        </w:tc>
        <w:tc>
          <w:tcPr>
            <w:tcW w:w="754" w:type="dxa"/>
            <w:tcBorders>
              <w:top w:val="nil"/>
              <w:left w:val="nil"/>
              <w:bottom w:val="nil"/>
              <w:right w:val="nil"/>
            </w:tcBorders>
          </w:tcPr>
          <w:p w:rsidR="00C41941" w:rsidRPr="00E61652" w:rsidRDefault="00C41941" w:rsidP="007128B9">
            <w:pPr>
              <w:ind w:left="100" w:right="100"/>
              <w:jc w:val="center"/>
              <w:rPr>
                <w:rFonts w:ascii="Times New Roman" w:eastAsia="Times New Roman" w:hAnsi="Times New Roman" w:cs="Times New Roman"/>
                <w:bCs/>
                <w:sz w:val="20"/>
                <w:szCs w:val="20"/>
                <w:lang w:val="en-GB" w:eastAsia="id-ID"/>
              </w:rPr>
            </w:pPr>
            <w:r w:rsidRPr="00E61652">
              <w:rPr>
                <w:rFonts w:ascii="Times New Roman" w:eastAsia="Times New Roman" w:hAnsi="Times New Roman" w:cs="Times New Roman"/>
                <w:bCs/>
                <w:sz w:val="20"/>
                <w:szCs w:val="20"/>
                <w:lang w:val="en-GB" w:eastAsia="id-ID"/>
              </w:rPr>
              <w:t>0.059</w:t>
            </w:r>
          </w:p>
        </w:tc>
        <w:tc>
          <w:tcPr>
            <w:tcW w:w="941" w:type="dxa"/>
            <w:tcBorders>
              <w:top w:val="nil"/>
              <w:left w:val="nil"/>
              <w:bottom w:val="nil"/>
              <w:right w:val="nil"/>
            </w:tcBorders>
          </w:tcPr>
          <w:p w:rsidR="00C41941" w:rsidRPr="00E61652" w:rsidRDefault="00C41941" w:rsidP="007128B9">
            <w:pPr>
              <w:ind w:left="100" w:right="100"/>
              <w:jc w:val="center"/>
              <w:rPr>
                <w:rFonts w:ascii="Times New Roman" w:eastAsia="Times New Roman" w:hAnsi="Times New Roman" w:cs="Times New Roman"/>
                <w:bCs/>
                <w:sz w:val="20"/>
                <w:szCs w:val="20"/>
                <w:lang w:val="en-GB" w:eastAsia="id-ID"/>
              </w:rPr>
            </w:pPr>
            <w:r w:rsidRPr="00E61652">
              <w:rPr>
                <w:rFonts w:ascii="Times New Roman" w:eastAsia="Times New Roman" w:hAnsi="Times New Roman" w:cs="Times New Roman"/>
                <w:bCs/>
                <w:sz w:val="20"/>
                <w:szCs w:val="20"/>
                <w:lang w:val="en-GB" w:eastAsia="id-ID"/>
              </w:rPr>
              <w:t>0.80</w:t>
            </w:r>
          </w:p>
        </w:tc>
      </w:tr>
      <w:tr w:rsidR="00022166" w:rsidRPr="00E61652" w:rsidTr="0043791B">
        <w:trPr>
          <w:trHeight w:val="165"/>
          <w:jc w:val="center"/>
        </w:trPr>
        <w:tc>
          <w:tcPr>
            <w:tcW w:w="2920" w:type="dxa"/>
            <w:tcBorders>
              <w:top w:val="nil"/>
              <w:left w:val="nil"/>
              <w:bottom w:val="nil"/>
              <w:right w:val="nil"/>
            </w:tcBorders>
            <w:shd w:val="clear" w:color="auto" w:fill="FFFFFF"/>
            <w:hideMark/>
          </w:tcPr>
          <w:p w:rsidR="00C41941" w:rsidRPr="00E61652" w:rsidRDefault="00C41941" w:rsidP="007128B9">
            <w:pPr>
              <w:spacing w:line="165" w:lineRule="atLeast"/>
              <w:ind w:left="1100" w:right="100" w:hanging="72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Female</w:t>
            </w:r>
          </w:p>
        </w:tc>
        <w:tc>
          <w:tcPr>
            <w:tcW w:w="1204" w:type="dxa"/>
            <w:tcBorders>
              <w:top w:val="nil"/>
              <w:left w:val="nil"/>
              <w:bottom w:val="nil"/>
              <w:right w:val="nil"/>
            </w:tcBorders>
            <w:shd w:val="clear" w:color="auto" w:fill="FFFFFF"/>
            <w:hideMark/>
          </w:tcPr>
          <w:p w:rsidR="00C41941" w:rsidRPr="00E61652" w:rsidRDefault="00C41941" w:rsidP="007128B9">
            <w:pPr>
              <w:spacing w:line="165" w:lineRule="atLeast"/>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48 (87.3)</w:t>
            </w:r>
          </w:p>
        </w:tc>
        <w:tc>
          <w:tcPr>
            <w:tcW w:w="1755" w:type="dxa"/>
            <w:tcBorders>
              <w:top w:val="nil"/>
              <w:left w:val="nil"/>
              <w:bottom w:val="nil"/>
              <w:right w:val="nil"/>
            </w:tcBorders>
            <w:shd w:val="clear" w:color="auto" w:fill="FFFFFF"/>
            <w:hideMark/>
          </w:tcPr>
          <w:p w:rsidR="00C41941" w:rsidRPr="00E61652" w:rsidRDefault="00C41941" w:rsidP="007128B9">
            <w:pPr>
              <w:spacing w:line="165" w:lineRule="atLeast"/>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7 (12.7)</w:t>
            </w:r>
          </w:p>
        </w:tc>
        <w:tc>
          <w:tcPr>
            <w:tcW w:w="1003" w:type="dxa"/>
            <w:tcBorders>
              <w:top w:val="nil"/>
              <w:left w:val="nil"/>
              <w:bottom w:val="nil"/>
              <w:right w:val="nil"/>
            </w:tcBorders>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057"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754"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941"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r>
      <w:tr w:rsidR="00022166" w:rsidRPr="00E61652" w:rsidTr="0043791B">
        <w:trPr>
          <w:jc w:val="center"/>
        </w:trPr>
        <w:tc>
          <w:tcPr>
            <w:tcW w:w="2920" w:type="dxa"/>
            <w:tcBorders>
              <w:top w:val="nil"/>
              <w:left w:val="nil"/>
              <w:bottom w:val="nil"/>
              <w:right w:val="nil"/>
            </w:tcBorders>
            <w:shd w:val="clear" w:color="auto" w:fill="FFFFFF"/>
            <w:hideMark/>
          </w:tcPr>
          <w:p w:rsidR="00C41941" w:rsidRPr="00E61652" w:rsidRDefault="00C41941" w:rsidP="007128B9">
            <w:pPr>
              <w:ind w:left="100" w:right="10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bCs/>
                <w:sz w:val="20"/>
                <w:szCs w:val="20"/>
                <w:lang w:val="en-GB" w:eastAsia="id-ID"/>
              </w:rPr>
              <w:t>Level of e</w:t>
            </w:r>
            <w:r w:rsidRPr="00E61652">
              <w:rPr>
                <w:rFonts w:ascii="Times New Roman" w:eastAsia="Times New Roman" w:hAnsi="Times New Roman" w:cs="Times New Roman"/>
                <w:bCs/>
                <w:sz w:val="20"/>
                <w:szCs w:val="20"/>
                <w:lang w:eastAsia="id-ID"/>
              </w:rPr>
              <w:t>ducation</w:t>
            </w:r>
          </w:p>
        </w:tc>
        <w:tc>
          <w:tcPr>
            <w:tcW w:w="1204" w:type="dxa"/>
            <w:tcBorders>
              <w:top w:val="nil"/>
              <w:left w:val="nil"/>
              <w:bottom w:val="nil"/>
              <w:right w:val="nil"/>
            </w:tcBorders>
            <w:shd w:val="clear" w:color="auto" w:fill="FFFFFF"/>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755" w:type="dxa"/>
            <w:tcBorders>
              <w:top w:val="nil"/>
              <w:left w:val="nil"/>
              <w:bottom w:val="nil"/>
              <w:right w:val="nil"/>
            </w:tcBorders>
            <w:shd w:val="clear" w:color="auto" w:fill="FFFFFF"/>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003" w:type="dxa"/>
            <w:tcBorders>
              <w:top w:val="nil"/>
              <w:left w:val="nil"/>
              <w:bottom w:val="nil"/>
              <w:right w:val="nil"/>
            </w:tcBorders>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057"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754"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941"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r>
      <w:tr w:rsidR="00022166" w:rsidRPr="00E61652" w:rsidTr="0043791B">
        <w:trPr>
          <w:jc w:val="center"/>
        </w:trPr>
        <w:tc>
          <w:tcPr>
            <w:tcW w:w="2920" w:type="dxa"/>
            <w:tcBorders>
              <w:top w:val="nil"/>
              <w:left w:val="nil"/>
              <w:bottom w:val="nil"/>
              <w:right w:val="nil"/>
            </w:tcBorders>
            <w:shd w:val="clear" w:color="auto" w:fill="FFFFFF"/>
            <w:hideMark/>
          </w:tcPr>
          <w:p w:rsidR="00C41941" w:rsidRPr="00E61652" w:rsidRDefault="00C41941" w:rsidP="007128B9">
            <w:pPr>
              <w:ind w:left="1100" w:right="100" w:hanging="72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eastAsia="id-ID"/>
              </w:rPr>
              <w:t>Elementary school</w:t>
            </w:r>
          </w:p>
        </w:tc>
        <w:tc>
          <w:tcPr>
            <w:tcW w:w="1204" w:type="dxa"/>
            <w:tcBorders>
              <w:top w:val="nil"/>
              <w:left w:val="nil"/>
              <w:bottom w:val="nil"/>
              <w:right w:val="nil"/>
            </w:tcBorders>
            <w:shd w:val="clear" w:color="auto" w:fill="FFFFFF"/>
            <w:hideMark/>
          </w:tcPr>
          <w:p w:rsidR="00C41941" w:rsidRPr="00E61652" w:rsidRDefault="00C41941" w:rsidP="007128B9">
            <w:pPr>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36 (80)</w:t>
            </w:r>
          </w:p>
        </w:tc>
        <w:tc>
          <w:tcPr>
            <w:tcW w:w="1755" w:type="dxa"/>
            <w:tcBorders>
              <w:top w:val="nil"/>
              <w:left w:val="nil"/>
              <w:bottom w:val="nil"/>
              <w:right w:val="nil"/>
            </w:tcBorders>
            <w:shd w:val="clear" w:color="auto" w:fill="FFFFFF"/>
            <w:hideMark/>
          </w:tcPr>
          <w:p w:rsidR="00C41941" w:rsidRPr="00E61652" w:rsidRDefault="00C41941" w:rsidP="007128B9">
            <w:pPr>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9 (20)</w:t>
            </w:r>
          </w:p>
        </w:tc>
        <w:tc>
          <w:tcPr>
            <w:tcW w:w="1003" w:type="dxa"/>
            <w:tcBorders>
              <w:top w:val="nil"/>
              <w:left w:val="nil"/>
              <w:bottom w:val="nil"/>
              <w:right w:val="nil"/>
            </w:tcBorders>
            <w:hideMark/>
          </w:tcPr>
          <w:p w:rsidR="00C41941" w:rsidRPr="00E61652" w:rsidRDefault="00C41941" w:rsidP="007128B9">
            <w:pPr>
              <w:ind w:left="160" w:right="16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eastAsia="id-ID"/>
              </w:rPr>
              <w:t>0.5</w:t>
            </w:r>
            <w:r w:rsidRPr="00E61652">
              <w:rPr>
                <w:rFonts w:ascii="Times New Roman" w:eastAsia="Times New Roman" w:hAnsi="Times New Roman" w:cs="Times New Roman"/>
                <w:sz w:val="20"/>
                <w:szCs w:val="20"/>
                <w:lang w:val="en-GB" w:eastAsia="id-ID"/>
              </w:rPr>
              <w:t>66</w:t>
            </w:r>
          </w:p>
        </w:tc>
        <w:tc>
          <w:tcPr>
            <w:tcW w:w="1057" w:type="dxa"/>
            <w:tcBorders>
              <w:top w:val="nil"/>
              <w:left w:val="nil"/>
              <w:bottom w:val="nil"/>
              <w:right w:val="nil"/>
            </w:tcBorders>
          </w:tcPr>
          <w:p w:rsidR="00C41941" w:rsidRPr="00E61652" w:rsidRDefault="00C41941" w:rsidP="007128B9">
            <w:pPr>
              <w:ind w:left="160" w:right="160"/>
              <w:jc w:val="center"/>
              <w:rPr>
                <w:rFonts w:ascii="Times New Roman" w:eastAsia="Times New Roman" w:hAnsi="Times New Roman" w:cs="Times New Roman"/>
                <w:sz w:val="20"/>
                <w:szCs w:val="20"/>
                <w:lang w:val="en-GB" w:eastAsia="id-ID"/>
              </w:rPr>
            </w:pPr>
          </w:p>
        </w:tc>
        <w:tc>
          <w:tcPr>
            <w:tcW w:w="754" w:type="dxa"/>
            <w:tcBorders>
              <w:top w:val="nil"/>
              <w:left w:val="nil"/>
              <w:bottom w:val="nil"/>
              <w:right w:val="nil"/>
            </w:tcBorders>
          </w:tcPr>
          <w:p w:rsidR="00C41941" w:rsidRPr="00E61652" w:rsidRDefault="00C41941" w:rsidP="007128B9">
            <w:pPr>
              <w:ind w:left="160" w:right="160"/>
              <w:jc w:val="center"/>
              <w:rPr>
                <w:rFonts w:ascii="Times New Roman" w:eastAsia="Times New Roman" w:hAnsi="Times New Roman" w:cs="Times New Roman"/>
                <w:sz w:val="20"/>
                <w:szCs w:val="20"/>
                <w:lang w:eastAsia="id-ID"/>
              </w:rPr>
            </w:pPr>
          </w:p>
        </w:tc>
        <w:tc>
          <w:tcPr>
            <w:tcW w:w="941" w:type="dxa"/>
            <w:tcBorders>
              <w:top w:val="nil"/>
              <w:left w:val="nil"/>
              <w:bottom w:val="nil"/>
              <w:right w:val="nil"/>
            </w:tcBorders>
          </w:tcPr>
          <w:p w:rsidR="00C41941" w:rsidRPr="00E61652" w:rsidRDefault="00C41941" w:rsidP="007128B9">
            <w:pPr>
              <w:ind w:left="160" w:right="160"/>
              <w:jc w:val="center"/>
              <w:rPr>
                <w:rFonts w:ascii="Times New Roman" w:eastAsia="Times New Roman" w:hAnsi="Times New Roman" w:cs="Times New Roman"/>
                <w:sz w:val="20"/>
                <w:szCs w:val="20"/>
                <w:lang w:eastAsia="id-ID"/>
              </w:rPr>
            </w:pPr>
          </w:p>
        </w:tc>
      </w:tr>
      <w:tr w:rsidR="00022166" w:rsidRPr="00E61652" w:rsidTr="0043791B">
        <w:trPr>
          <w:jc w:val="center"/>
        </w:trPr>
        <w:tc>
          <w:tcPr>
            <w:tcW w:w="2920" w:type="dxa"/>
            <w:tcBorders>
              <w:top w:val="nil"/>
              <w:left w:val="nil"/>
              <w:bottom w:val="nil"/>
              <w:right w:val="nil"/>
            </w:tcBorders>
            <w:shd w:val="clear" w:color="auto" w:fill="FFFFFF"/>
            <w:hideMark/>
          </w:tcPr>
          <w:p w:rsidR="00C41941" w:rsidRPr="00E61652" w:rsidRDefault="00C41941" w:rsidP="007128B9">
            <w:pPr>
              <w:ind w:left="1100" w:right="100" w:hanging="72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Graduated from junior high / high school</w:t>
            </w:r>
          </w:p>
        </w:tc>
        <w:tc>
          <w:tcPr>
            <w:tcW w:w="1204" w:type="dxa"/>
            <w:tcBorders>
              <w:top w:val="nil"/>
              <w:left w:val="nil"/>
              <w:bottom w:val="nil"/>
              <w:right w:val="nil"/>
            </w:tcBorders>
            <w:shd w:val="clear" w:color="auto" w:fill="FFFFFF"/>
            <w:hideMark/>
          </w:tcPr>
          <w:p w:rsidR="00C41941" w:rsidRPr="00E61652" w:rsidRDefault="00C41941" w:rsidP="007128B9">
            <w:pPr>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16 (88.9)</w:t>
            </w:r>
          </w:p>
        </w:tc>
        <w:tc>
          <w:tcPr>
            <w:tcW w:w="1755" w:type="dxa"/>
            <w:tcBorders>
              <w:top w:val="nil"/>
              <w:left w:val="nil"/>
              <w:bottom w:val="nil"/>
              <w:right w:val="nil"/>
            </w:tcBorders>
            <w:shd w:val="clear" w:color="auto" w:fill="FFFFFF"/>
            <w:hideMark/>
          </w:tcPr>
          <w:p w:rsidR="00C41941" w:rsidRPr="00E61652" w:rsidRDefault="00C41941" w:rsidP="007128B9">
            <w:pPr>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2 (11.1)</w:t>
            </w:r>
          </w:p>
        </w:tc>
        <w:tc>
          <w:tcPr>
            <w:tcW w:w="1003" w:type="dxa"/>
            <w:tcBorders>
              <w:top w:val="nil"/>
              <w:left w:val="nil"/>
              <w:bottom w:val="nil"/>
              <w:right w:val="nil"/>
            </w:tcBorders>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057" w:type="dxa"/>
            <w:tcBorders>
              <w:top w:val="nil"/>
              <w:left w:val="nil"/>
              <w:bottom w:val="nil"/>
              <w:right w:val="nil"/>
            </w:tcBorders>
          </w:tcPr>
          <w:p w:rsidR="00C41941" w:rsidRPr="00E61652" w:rsidRDefault="00C41941" w:rsidP="007128B9">
            <w:pPr>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0.5</w:t>
            </w:r>
          </w:p>
        </w:tc>
        <w:tc>
          <w:tcPr>
            <w:tcW w:w="754" w:type="dxa"/>
            <w:tcBorders>
              <w:top w:val="nil"/>
              <w:left w:val="nil"/>
              <w:bottom w:val="nil"/>
              <w:right w:val="nil"/>
            </w:tcBorders>
          </w:tcPr>
          <w:p w:rsidR="00C41941" w:rsidRPr="00E61652" w:rsidRDefault="00C41941" w:rsidP="007128B9">
            <w:pPr>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0.097</w:t>
            </w:r>
          </w:p>
        </w:tc>
        <w:tc>
          <w:tcPr>
            <w:tcW w:w="941" w:type="dxa"/>
            <w:tcBorders>
              <w:top w:val="nil"/>
              <w:left w:val="nil"/>
              <w:bottom w:val="nil"/>
              <w:right w:val="nil"/>
            </w:tcBorders>
          </w:tcPr>
          <w:p w:rsidR="00C41941" w:rsidRPr="00E61652" w:rsidRDefault="00C41941" w:rsidP="007128B9">
            <w:pPr>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2.58</w:t>
            </w:r>
          </w:p>
        </w:tc>
      </w:tr>
      <w:tr w:rsidR="00022166" w:rsidRPr="00E61652" w:rsidTr="0043791B">
        <w:trPr>
          <w:trHeight w:val="165"/>
          <w:jc w:val="center"/>
        </w:trPr>
        <w:tc>
          <w:tcPr>
            <w:tcW w:w="2920" w:type="dxa"/>
            <w:tcBorders>
              <w:top w:val="nil"/>
              <w:left w:val="nil"/>
              <w:bottom w:val="nil"/>
              <w:right w:val="nil"/>
            </w:tcBorders>
            <w:shd w:val="clear" w:color="auto" w:fill="FFFFFF"/>
            <w:hideMark/>
          </w:tcPr>
          <w:p w:rsidR="00C41941" w:rsidRPr="00E61652" w:rsidRDefault="00C41941" w:rsidP="007128B9">
            <w:pPr>
              <w:spacing w:line="165" w:lineRule="atLeast"/>
              <w:ind w:left="1100" w:right="100" w:hanging="72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Higher Education</w:t>
            </w:r>
          </w:p>
        </w:tc>
        <w:tc>
          <w:tcPr>
            <w:tcW w:w="1204" w:type="dxa"/>
            <w:tcBorders>
              <w:top w:val="nil"/>
              <w:left w:val="nil"/>
              <w:bottom w:val="nil"/>
              <w:right w:val="nil"/>
            </w:tcBorders>
            <w:shd w:val="clear" w:color="auto" w:fill="FFFFFF"/>
            <w:hideMark/>
          </w:tcPr>
          <w:p w:rsidR="00C41941" w:rsidRPr="00E61652" w:rsidRDefault="00C41941" w:rsidP="007128B9">
            <w:pPr>
              <w:spacing w:line="165" w:lineRule="atLeast"/>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5 (71.4)</w:t>
            </w:r>
          </w:p>
        </w:tc>
        <w:tc>
          <w:tcPr>
            <w:tcW w:w="1755" w:type="dxa"/>
            <w:tcBorders>
              <w:top w:val="nil"/>
              <w:left w:val="nil"/>
              <w:bottom w:val="nil"/>
              <w:right w:val="nil"/>
            </w:tcBorders>
            <w:shd w:val="clear" w:color="auto" w:fill="FFFFFF"/>
            <w:hideMark/>
          </w:tcPr>
          <w:p w:rsidR="00C41941" w:rsidRPr="00E61652" w:rsidRDefault="00C41941" w:rsidP="007128B9">
            <w:pPr>
              <w:spacing w:line="165" w:lineRule="atLeast"/>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2 (28.6)</w:t>
            </w:r>
          </w:p>
        </w:tc>
        <w:tc>
          <w:tcPr>
            <w:tcW w:w="1003" w:type="dxa"/>
            <w:tcBorders>
              <w:top w:val="nil"/>
              <w:left w:val="nil"/>
              <w:bottom w:val="nil"/>
              <w:right w:val="nil"/>
            </w:tcBorders>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057" w:type="dxa"/>
            <w:tcBorders>
              <w:top w:val="nil"/>
              <w:left w:val="nil"/>
              <w:bottom w:val="nil"/>
              <w:right w:val="nil"/>
            </w:tcBorders>
          </w:tcPr>
          <w:p w:rsidR="00C41941" w:rsidRPr="00E61652" w:rsidRDefault="00C41941" w:rsidP="007128B9">
            <w:pPr>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1.6</w:t>
            </w:r>
          </w:p>
        </w:tc>
        <w:tc>
          <w:tcPr>
            <w:tcW w:w="754" w:type="dxa"/>
            <w:tcBorders>
              <w:top w:val="nil"/>
              <w:left w:val="nil"/>
              <w:bottom w:val="nil"/>
              <w:right w:val="nil"/>
            </w:tcBorders>
          </w:tcPr>
          <w:p w:rsidR="00C41941" w:rsidRPr="00E61652" w:rsidRDefault="00C41941" w:rsidP="007128B9">
            <w:pPr>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0.27</w:t>
            </w:r>
          </w:p>
        </w:tc>
        <w:tc>
          <w:tcPr>
            <w:tcW w:w="941" w:type="dxa"/>
            <w:tcBorders>
              <w:top w:val="nil"/>
              <w:left w:val="nil"/>
              <w:bottom w:val="nil"/>
              <w:right w:val="nil"/>
            </w:tcBorders>
          </w:tcPr>
          <w:p w:rsidR="00C41941" w:rsidRPr="00E61652" w:rsidRDefault="00C41941" w:rsidP="007128B9">
            <w:pPr>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9.63</w:t>
            </w:r>
          </w:p>
        </w:tc>
      </w:tr>
      <w:tr w:rsidR="00022166" w:rsidRPr="00E61652" w:rsidTr="0043791B">
        <w:trPr>
          <w:jc w:val="center"/>
        </w:trPr>
        <w:tc>
          <w:tcPr>
            <w:tcW w:w="2920" w:type="dxa"/>
            <w:tcBorders>
              <w:top w:val="nil"/>
              <w:left w:val="nil"/>
              <w:bottom w:val="nil"/>
              <w:right w:val="nil"/>
            </w:tcBorders>
            <w:shd w:val="clear" w:color="auto" w:fill="FFFFFF"/>
            <w:hideMark/>
          </w:tcPr>
          <w:p w:rsidR="00C41941" w:rsidRPr="00E61652" w:rsidRDefault="00C41941" w:rsidP="007128B9">
            <w:pPr>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bCs/>
                <w:sz w:val="20"/>
                <w:szCs w:val="20"/>
                <w:lang w:val="en-GB" w:eastAsia="id-ID"/>
              </w:rPr>
              <w:t>Working status</w:t>
            </w:r>
          </w:p>
        </w:tc>
        <w:tc>
          <w:tcPr>
            <w:tcW w:w="1204" w:type="dxa"/>
            <w:tcBorders>
              <w:top w:val="nil"/>
              <w:left w:val="nil"/>
              <w:bottom w:val="nil"/>
              <w:right w:val="nil"/>
            </w:tcBorders>
            <w:shd w:val="clear" w:color="auto" w:fill="FFFFFF"/>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755" w:type="dxa"/>
            <w:tcBorders>
              <w:top w:val="nil"/>
              <w:left w:val="nil"/>
              <w:bottom w:val="nil"/>
              <w:right w:val="nil"/>
            </w:tcBorders>
            <w:shd w:val="clear" w:color="auto" w:fill="FFFFFF"/>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003" w:type="dxa"/>
            <w:tcBorders>
              <w:top w:val="nil"/>
              <w:left w:val="nil"/>
              <w:bottom w:val="nil"/>
              <w:right w:val="nil"/>
            </w:tcBorders>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057"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754"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941"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r>
      <w:tr w:rsidR="00022166" w:rsidRPr="00E61652" w:rsidTr="0043791B">
        <w:trPr>
          <w:jc w:val="center"/>
        </w:trPr>
        <w:tc>
          <w:tcPr>
            <w:tcW w:w="2920" w:type="dxa"/>
            <w:tcBorders>
              <w:top w:val="nil"/>
              <w:left w:val="nil"/>
              <w:bottom w:val="nil"/>
              <w:right w:val="nil"/>
            </w:tcBorders>
            <w:shd w:val="clear" w:color="auto" w:fill="FFFFFF"/>
            <w:hideMark/>
          </w:tcPr>
          <w:p w:rsidR="00C41941" w:rsidRPr="00E61652" w:rsidRDefault="00C41941" w:rsidP="007128B9">
            <w:pPr>
              <w:ind w:left="1100" w:right="100" w:hanging="72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eastAsia="id-ID"/>
              </w:rPr>
              <w:t>Work</w:t>
            </w:r>
            <w:proofErr w:type="spellStart"/>
            <w:r w:rsidRPr="00E61652">
              <w:rPr>
                <w:rFonts w:ascii="Times New Roman" w:eastAsia="Times New Roman" w:hAnsi="Times New Roman" w:cs="Times New Roman"/>
                <w:sz w:val="20"/>
                <w:szCs w:val="20"/>
                <w:lang w:val="en-GB" w:eastAsia="id-ID"/>
              </w:rPr>
              <w:t>ing</w:t>
            </w:r>
            <w:proofErr w:type="spellEnd"/>
          </w:p>
        </w:tc>
        <w:tc>
          <w:tcPr>
            <w:tcW w:w="1204" w:type="dxa"/>
            <w:tcBorders>
              <w:top w:val="nil"/>
              <w:left w:val="nil"/>
              <w:bottom w:val="nil"/>
              <w:right w:val="nil"/>
            </w:tcBorders>
            <w:shd w:val="clear" w:color="auto" w:fill="FFFFFF"/>
            <w:hideMark/>
          </w:tcPr>
          <w:p w:rsidR="00C41941" w:rsidRPr="00E61652" w:rsidRDefault="00C41941" w:rsidP="007128B9">
            <w:pPr>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4 (40)</w:t>
            </w:r>
          </w:p>
        </w:tc>
        <w:tc>
          <w:tcPr>
            <w:tcW w:w="1755" w:type="dxa"/>
            <w:tcBorders>
              <w:top w:val="nil"/>
              <w:left w:val="nil"/>
              <w:bottom w:val="nil"/>
              <w:right w:val="nil"/>
            </w:tcBorders>
            <w:shd w:val="clear" w:color="auto" w:fill="FFFFFF"/>
            <w:hideMark/>
          </w:tcPr>
          <w:p w:rsidR="00C41941" w:rsidRPr="00E61652" w:rsidRDefault="00C41941" w:rsidP="007128B9">
            <w:pPr>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6 (60)</w:t>
            </w:r>
          </w:p>
        </w:tc>
        <w:tc>
          <w:tcPr>
            <w:tcW w:w="1003" w:type="dxa"/>
            <w:tcBorders>
              <w:top w:val="nil"/>
              <w:left w:val="nil"/>
              <w:bottom w:val="nil"/>
              <w:right w:val="nil"/>
            </w:tcBorders>
            <w:hideMark/>
          </w:tcPr>
          <w:p w:rsidR="00C41941" w:rsidRPr="00E61652" w:rsidRDefault="00C41941" w:rsidP="007128B9">
            <w:pPr>
              <w:ind w:left="100" w:right="10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bCs/>
                <w:sz w:val="20"/>
                <w:szCs w:val="20"/>
                <w:lang w:eastAsia="id-ID"/>
              </w:rPr>
              <w:t>0.002 *)</w:t>
            </w:r>
          </w:p>
        </w:tc>
        <w:tc>
          <w:tcPr>
            <w:tcW w:w="1057" w:type="dxa"/>
            <w:tcBorders>
              <w:top w:val="nil"/>
              <w:left w:val="nil"/>
              <w:bottom w:val="nil"/>
              <w:right w:val="nil"/>
            </w:tcBorders>
          </w:tcPr>
          <w:p w:rsidR="00C41941" w:rsidRPr="00E61652" w:rsidRDefault="00C41941" w:rsidP="007128B9">
            <w:pPr>
              <w:ind w:left="100" w:right="100"/>
              <w:jc w:val="center"/>
              <w:rPr>
                <w:rFonts w:ascii="Times New Roman" w:eastAsia="Times New Roman" w:hAnsi="Times New Roman" w:cs="Times New Roman"/>
                <w:bCs/>
                <w:sz w:val="20"/>
                <w:szCs w:val="20"/>
                <w:lang w:val="en-GB" w:eastAsia="id-ID"/>
              </w:rPr>
            </w:pPr>
            <w:r w:rsidRPr="00E61652">
              <w:rPr>
                <w:rFonts w:ascii="Times New Roman" w:eastAsia="Times New Roman" w:hAnsi="Times New Roman" w:cs="Times New Roman"/>
                <w:bCs/>
                <w:sz w:val="20"/>
                <w:szCs w:val="20"/>
                <w:lang w:val="en-GB" w:eastAsia="id-ID"/>
              </w:rPr>
              <w:t>0.088</w:t>
            </w:r>
          </w:p>
        </w:tc>
        <w:tc>
          <w:tcPr>
            <w:tcW w:w="754" w:type="dxa"/>
            <w:tcBorders>
              <w:top w:val="nil"/>
              <w:left w:val="nil"/>
              <w:bottom w:val="nil"/>
              <w:right w:val="nil"/>
            </w:tcBorders>
          </w:tcPr>
          <w:p w:rsidR="00C41941" w:rsidRPr="00E61652" w:rsidRDefault="00C41941" w:rsidP="007128B9">
            <w:pPr>
              <w:ind w:left="100" w:right="100"/>
              <w:jc w:val="center"/>
              <w:rPr>
                <w:rFonts w:ascii="Times New Roman" w:eastAsia="Times New Roman" w:hAnsi="Times New Roman" w:cs="Times New Roman"/>
                <w:bCs/>
                <w:sz w:val="20"/>
                <w:szCs w:val="20"/>
                <w:lang w:val="en-GB" w:eastAsia="id-ID"/>
              </w:rPr>
            </w:pPr>
            <w:r w:rsidRPr="00E61652">
              <w:rPr>
                <w:rFonts w:ascii="Times New Roman" w:eastAsia="Times New Roman" w:hAnsi="Times New Roman" w:cs="Times New Roman"/>
                <w:bCs/>
                <w:sz w:val="20"/>
                <w:szCs w:val="20"/>
                <w:lang w:val="en-GB" w:eastAsia="id-ID"/>
              </w:rPr>
              <w:t>0.020</w:t>
            </w:r>
          </w:p>
        </w:tc>
        <w:tc>
          <w:tcPr>
            <w:tcW w:w="941" w:type="dxa"/>
            <w:tcBorders>
              <w:top w:val="nil"/>
              <w:left w:val="nil"/>
              <w:bottom w:val="nil"/>
              <w:right w:val="nil"/>
            </w:tcBorders>
          </w:tcPr>
          <w:p w:rsidR="00C41941" w:rsidRPr="00E61652" w:rsidRDefault="00C41941" w:rsidP="007128B9">
            <w:pPr>
              <w:ind w:left="100" w:right="100"/>
              <w:jc w:val="center"/>
              <w:rPr>
                <w:rFonts w:ascii="Times New Roman" w:eastAsia="Times New Roman" w:hAnsi="Times New Roman" w:cs="Times New Roman"/>
                <w:bCs/>
                <w:sz w:val="20"/>
                <w:szCs w:val="20"/>
                <w:lang w:val="en-GB" w:eastAsia="id-ID"/>
              </w:rPr>
            </w:pPr>
            <w:r w:rsidRPr="00E61652">
              <w:rPr>
                <w:rFonts w:ascii="Times New Roman" w:eastAsia="Times New Roman" w:hAnsi="Times New Roman" w:cs="Times New Roman"/>
                <w:bCs/>
                <w:sz w:val="20"/>
                <w:szCs w:val="20"/>
                <w:lang w:val="en-GB" w:eastAsia="id-ID"/>
              </w:rPr>
              <w:t>0.39</w:t>
            </w:r>
          </w:p>
        </w:tc>
      </w:tr>
      <w:tr w:rsidR="00022166" w:rsidRPr="00E61652" w:rsidTr="0043791B">
        <w:trPr>
          <w:jc w:val="center"/>
        </w:trPr>
        <w:tc>
          <w:tcPr>
            <w:tcW w:w="2920" w:type="dxa"/>
            <w:tcBorders>
              <w:top w:val="nil"/>
              <w:left w:val="nil"/>
              <w:bottom w:val="nil"/>
              <w:right w:val="nil"/>
            </w:tcBorders>
            <w:shd w:val="clear" w:color="auto" w:fill="FFFFFF"/>
            <w:hideMark/>
          </w:tcPr>
          <w:p w:rsidR="00C41941" w:rsidRPr="00E61652" w:rsidRDefault="00C41941" w:rsidP="007128B9">
            <w:pPr>
              <w:ind w:left="1100" w:right="100" w:hanging="72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Not working</w:t>
            </w:r>
          </w:p>
        </w:tc>
        <w:tc>
          <w:tcPr>
            <w:tcW w:w="1204" w:type="dxa"/>
            <w:tcBorders>
              <w:top w:val="nil"/>
              <w:left w:val="nil"/>
              <w:bottom w:val="nil"/>
              <w:right w:val="nil"/>
            </w:tcBorders>
            <w:shd w:val="clear" w:color="auto" w:fill="FFFFFF"/>
            <w:hideMark/>
          </w:tcPr>
          <w:p w:rsidR="00C41941" w:rsidRPr="00E61652" w:rsidRDefault="00C41941" w:rsidP="007128B9">
            <w:pPr>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53 (88.3)</w:t>
            </w:r>
          </w:p>
        </w:tc>
        <w:tc>
          <w:tcPr>
            <w:tcW w:w="1755" w:type="dxa"/>
            <w:tcBorders>
              <w:top w:val="nil"/>
              <w:left w:val="nil"/>
              <w:bottom w:val="nil"/>
              <w:right w:val="nil"/>
            </w:tcBorders>
            <w:shd w:val="clear" w:color="auto" w:fill="FFFFFF"/>
            <w:hideMark/>
          </w:tcPr>
          <w:p w:rsidR="00C41941" w:rsidRPr="00E61652" w:rsidRDefault="00C41941" w:rsidP="007128B9">
            <w:pPr>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7 (11.7)</w:t>
            </w:r>
          </w:p>
        </w:tc>
        <w:tc>
          <w:tcPr>
            <w:tcW w:w="1003" w:type="dxa"/>
            <w:tcBorders>
              <w:top w:val="nil"/>
              <w:left w:val="nil"/>
              <w:bottom w:val="nil"/>
              <w:right w:val="nil"/>
            </w:tcBorders>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057"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754"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941"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r>
      <w:tr w:rsidR="00022166" w:rsidRPr="00E61652" w:rsidTr="0043791B">
        <w:trPr>
          <w:jc w:val="center"/>
        </w:trPr>
        <w:tc>
          <w:tcPr>
            <w:tcW w:w="2920" w:type="dxa"/>
            <w:tcBorders>
              <w:top w:val="nil"/>
              <w:left w:val="nil"/>
              <w:bottom w:val="nil"/>
              <w:right w:val="nil"/>
            </w:tcBorders>
            <w:shd w:val="clear" w:color="auto" w:fill="FFFFFF"/>
            <w:hideMark/>
          </w:tcPr>
          <w:p w:rsidR="00C41941" w:rsidRPr="00E61652" w:rsidRDefault="00C41941" w:rsidP="007128B9">
            <w:pPr>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bCs/>
                <w:sz w:val="20"/>
                <w:szCs w:val="20"/>
                <w:lang w:eastAsia="id-ID"/>
              </w:rPr>
              <w:t>History of purine</w:t>
            </w:r>
            <w:r w:rsidRPr="00E61652">
              <w:rPr>
                <w:rFonts w:ascii="Times New Roman" w:eastAsia="Times New Roman" w:hAnsi="Times New Roman" w:cs="Times New Roman"/>
                <w:bCs/>
                <w:sz w:val="20"/>
                <w:szCs w:val="20"/>
                <w:lang w:val="en-GB" w:eastAsia="id-ID"/>
              </w:rPr>
              <w:t xml:space="preserve"> consumption</w:t>
            </w:r>
          </w:p>
        </w:tc>
        <w:tc>
          <w:tcPr>
            <w:tcW w:w="1204" w:type="dxa"/>
            <w:tcBorders>
              <w:top w:val="nil"/>
              <w:left w:val="nil"/>
              <w:bottom w:val="nil"/>
              <w:right w:val="nil"/>
            </w:tcBorders>
            <w:shd w:val="clear" w:color="auto" w:fill="FFFFFF"/>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755" w:type="dxa"/>
            <w:tcBorders>
              <w:top w:val="nil"/>
              <w:left w:val="nil"/>
              <w:bottom w:val="nil"/>
              <w:right w:val="nil"/>
            </w:tcBorders>
            <w:shd w:val="clear" w:color="auto" w:fill="FFFFFF"/>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003" w:type="dxa"/>
            <w:tcBorders>
              <w:top w:val="nil"/>
              <w:left w:val="nil"/>
              <w:bottom w:val="nil"/>
              <w:right w:val="nil"/>
            </w:tcBorders>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057"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754"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941"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r>
      <w:tr w:rsidR="00022166" w:rsidRPr="00E61652" w:rsidTr="0043791B">
        <w:trPr>
          <w:jc w:val="center"/>
        </w:trPr>
        <w:tc>
          <w:tcPr>
            <w:tcW w:w="2920" w:type="dxa"/>
            <w:tcBorders>
              <w:top w:val="nil"/>
              <w:left w:val="nil"/>
              <w:bottom w:val="nil"/>
              <w:right w:val="nil"/>
            </w:tcBorders>
            <w:shd w:val="clear" w:color="auto" w:fill="FFFFFF"/>
            <w:hideMark/>
          </w:tcPr>
          <w:p w:rsidR="00C41941" w:rsidRPr="00E61652" w:rsidRDefault="00C41941" w:rsidP="007128B9">
            <w:pPr>
              <w:ind w:left="100" w:right="10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Yes</w:t>
            </w:r>
          </w:p>
        </w:tc>
        <w:tc>
          <w:tcPr>
            <w:tcW w:w="1204" w:type="dxa"/>
            <w:tcBorders>
              <w:top w:val="nil"/>
              <w:left w:val="nil"/>
              <w:bottom w:val="nil"/>
              <w:right w:val="nil"/>
            </w:tcBorders>
            <w:shd w:val="clear" w:color="auto" w:fill="FFFFFF"/>
            <w:hideMark/>
          </w:tcPr>
          <w:p w:rsidR="00C41941" w:rsidRPr="00E61652" w:rsidRDefault="00C41941" w:rsidP="007128B9">
            <w:pPr>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22 (75.9)</w:t>
            </w:r>
          </w:p>
        </w:tc>
        <w:tc>
          <w:tcPr>
            <w:tcW w:w="1755" w:type="dxa"/>
            <w:tcBorders>
              <w:top w:val="nil"/>
              <w:left w:val="nil"/>
              <w:bottom w:val="nil"/>
              <w:right w:val="nil"/>
            </w:tcBorders>
            <w:shd w:val="clear" w:color="auto" w:fill="FFFFFF"/>
            <w:hideMark/>
          </w:tcPr>
          <w:p w:rsidR="00C41941" w:rsidRPr="00E61652" w:rsidRDefault="00C41941" w:rsidP="007128B9">
            <w:pPr>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7 (24.1)</w:t>
            </w:r>
          </w:p>
        </w:tc>
        <w:tc>
          <w:tcPr>
            <w:tcW w:w="1003" w:type="dxa"/>
            <w:tcBorders>
              <w:top w:val="nil"/>
              <w:left w:val="nil"/>
              <w:bottom w:val="nil"/>
              <w:right w:val="nil"/>
            </w:tcBorders>
            <w:hideMark/>
          </w:tcPr>
          <w:p w:rsidR="00C41941" w:rsidRPr="00E61652" w:rsidRDefault="00C41941" w:rsidP="007128B9">
            <w:pPr>
              <w:ind w:left="100" w:right="10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0,242</w:t>
            </w:r>
          </w:p>
        </w:tc>
        <w:tc>
          <w:tcPr>
            <w:tcW w:w="1057" w:type="dxa"/>
            <w:tcBorders>
              <w:top w:val="nil"/>
              <w:left w:val="nil"/>
              <w:bottom w:val="nil"/>
              <w:right w:val="nil"/>
            </w:tcBorders>
          </w:tcPr>
          <w:p w:rsidR="00C41941" w:rsidRPr="00E61652" w:rsidRDefault="00C41941" w:rsidP="007128B9">
            <w:pPr>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1.59</w:t>
            </w:r>
          </w:p>
        </w:tc>
        <w:tc>
          <w:tcPr>
            <w:tcW w:w="754" w:type="dxa"/>
            <w:tcBorders>
              <w:top w:val="nil"/>
              <w:left w:val="nil"/>
              <w:bottom w:val="nil"/>
              <w:right w:val="nil"/>
            </w:tcBorders>
          </w:tcPr>
          <w:p w:rsidR="00C41941" w:rsidRPr="00E61652" w:rsidRDefault="00C41941" w:rsidP="007128B9">
            <w:pPr>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1.23</w:t>
            </w:r>
          </w:p>
        </w:tc>
        <w:tc>
          <w:tcPr>
            <w:tcW w:w="941" w:type="dxa"/>
            <w:tcBorders>
              <w:top w:val="nil"/>
              <w:left w:val="nil"/>
              <w:bottom w:val="nil"/>
              <w:right w:val="nil"/>
            </w:tcBorders>
          </w:tcPr>
          <w:p w:rsidR="00C41941" w:rsidRPr="00E61652" w:rsidRDefault="00C41941" w:rsidP="007128B9">
            <w:pPr>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2.05</w:t>
            </w:r>
          </w:p>
        </w:tc>
      </w:tr>
      <w:tr w:rsidR="00022166" w:rsidRPr="00E61652" w:rsidTr="0043791B">
        <w:trPr>
          <w:jc w:val="center"/>
        </w:trPr>
        <w:tc>
          <w:tcPr>
            <w:tcW w:w="2920" w:type="dxa"/>
            <w:tcBorders>
              <w:top w:val="nil"/>
              <w:left w:val="nil"/>
              <w:bottom w:val="nil"/>
              <w:right w:val="nil"/>
            </w:tcBorders>
            <w:shd w:val="clear" w:color="auto" w:fill="FFFFFF"/>
            <w:hideMark/>
          </w:tcPr>
          <w:p w:rsidR="00C41941" w:rsidRPr="00E61652" w:rsidRDefault="00C41941" w:rsidP="007128B9">
            <w:pPr>
              <w:ind w:left="100" w:right="10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No</w:t>
            </w:r>
          </w:p>
        </w:tc>
        <w:tc>
          <w:tcPr>
            <w:tcW w:w="1204" w:type="dxa"/>
            <w:tcBorders>
              <w:top w:val="nil"/>
              <w:left w:val="nil"/>
              <w:bottom w:val="nil"/>
              <w:right w:val="nil"/>
            </w:tcBorders>
            <w:shd w:val="clear" w:color="auto" w:fill="FFFFFF"/>
            <w:hideMark/>
          </w:tcPr>
          <w:p w:rsidR="00C41941" w:rsidRPr="00E61652" w:rsidRDefault="00C41941" w:rsidP="007128B9">
            <w:pPr>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35 (85.4)</w:t>
            </w:r>
          </w:p>
        </w:tc>
        <w:tc>
          <w:tcPr>
            <w:tcW w:w="1755" w:type="dxa"/>
            <w:tcBorders>
              <w:top w:val="nil"/>
              <w:left w:val="nil"/>
              <w:bottom w:val="nil"/>
              <w:right w:val="nil"/>
            </w:tcBorders>
            <w:shd w:val="clear" w:color="auto" w:fill="FFFFFF"/>
            <w:hideMark/>
          </w:tcPr>
          <w:p w:rsidR="00C41941" w:rsidRPr="00E61652" w:rsidRDefault="00C41941" w:rsidP="007128B9">
            <w:pPr>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6 (14.6)</w:t>
            </w:r>
          </w:p>
        </w:tc>
        <w:tc>
          <w:tcPr>
            <w:tcW w:w="1003" w:type="dxa"/>
            <w:tcBorders>
              <w:top w:val="nil"/>
              <w:left w:val="nil"/>
              <w:bottom w:val="nil"/>
              <w:right w:val="nil"/>
            </w:tcBorders>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057"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754"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941" w:type="dxa"/>
            <w:tcBorders>
              <w:top w:val="nil"/>
              <w:left w:val="nil"/>
              <w:bottom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r>
      <w:tr w:rsidR="00022166" w:rsidRPr="00E61652" w:rsidTr="0043791B">
        <w:trPr>
          <w:jc w:val="center"/>
        </w:trPr>
        <w:tc>
          <w:tcPr>
            <w:tcW w:w="2920" w:type="dxa"/>
            <w:tcBorders>
              <w:top w:val="nil"/>
              <w:left w:val="nil"/>
              <w:right w:val="nil"/>
            </w:tcBorders>
            <w:shd w:val="clear" w:color="auto" w:fill="FFFFFF"/>
            <w:hideMark/>
          </w:tcPr>
          <w:p w:rsidR="00C41941" w:rsidRPr="00E61652" w:rsidRDefault="00C41941" w:rsidP="007128B9">
            <w:pPr>
              <w:ind w:left="100" w:right="100"/>
              <w:jc w:val="center"/>
              <w:rPr>
                <w:rFonts w:ascii="Times New Roman" w:eastAsia="Times New Roman" w:hAnsi="Times New Roman" w:cs="Times New Roman"/>
                <w:sz w:val="20"/>
                <w:szCs w:val="20"/>
                <w:lang w:val="en-GB" w:eastAsia="id-ID"/>
              </w:rPr>
            </w:pPr>
            <w:proofErr w:type="spellStart"/>
            <w:r w:rsidRPr="00E61652">
              <w:rPr>
                <w:rFonts w:ascii="Times New Roman" w:eastAsia="Times New Roman" w:hAnsi="Times New Roman" w:cs="Times New Roman"/>
                <w:bCs/>
                <w:sz w:val="20"/>
                <w:szCs w:val="20"/>
                <w:lang w:val="en-GB" w:eastAsia="id-ID"/>
              </w:rPr>
              <w:t>Nutrional</w:t>
            </w:r>
            <w:proofErr w:type="spellEnd"/>
            <w:r w:rsidRPr="00E61652">
              <w:rPr>
                <w:rFonts w:ascii="Times New Roman" w:eastAsia="Times New Roman" w:hAnsi="Times New Roman" w:cs="Times New Roman"/>
                <w:bCs/>
                <w:sz w:val="20"/>
                <w:szCs w:val="20"/>
                <w:lang w:val="en-GB" w:eastAsia="id-ID"/>
              </w:rPr>
              <w:t xml:space="preserve"> k</w:t>
            </w:r>
            <w:r w:rsidRPr="00E61652">
              <w:rPr>
                <w:rFonts w:ascii="Times New Roman" w:eastAsia="Times New Roman" w:hAnsi="Times New Roman" w:cs="Times New Roman"/>
                <w:bCs/>
                <w:sz w:val="20"/>
                <w:szCs w:val="20"/>
                <w:lang w:eastAsia="id-ID"/>
              </w:rPr>
              <w:t>nowledge</w:t>
            </w:r>
            <w:r w:rsidR="00FF7DCF" w:rsidRPr="00E61652">
              <w:rPr>
                <w:rFonts w:ascii="Times New Roman" w:eastAsia="Times New Roman" w:hAnsi="Times New Roman" w:cs="Times New Roman"/>
                <w:bCs/>
                <w:sz w:val="20"/>
                <w:szCs w:val="20"/>
                <w:lang w:val="en-GB" w:eastAsia="id-ID"/>
              </w:rPr>
              <w:t xml:space="preserve"> on </w:t>
            </w:r>
            <w:proofErr w:type="spellStart"/>
            <w:r w:rsidR="00FF7DCF" w:rsidRPr="00E61652">
              <w:rPr>
                <w:rFonts w:ascii="Times New Roman" w:eastAsia="Times New Roman" w:hAnsi="Times New Roman" w:cs="Times New Roman"/>
                <w:bCs/>
                <w:sz w:val="20"/>
                <w:szCs w:val="20"/>
                <w:lang w:val="en-GB" w:eastAsia="id-ID"/>
              </w:rPr>
              <w:t>hyperuricemia</w:t>
            </w:r>
            <w:proofErr w:type="spellEnd"/>
          </w:p>
        </w:tc>
        <w:tc>
          <w:tcPr>
            <w:tcW w:w="1204" w:type="dxa"/>
            <w:tcBorders>
              <w:top w:val="nil"/>
              <w:left w:val="nil"/>
              <w:right w:val="nil"/>
            </w:tcBorders>
            <w:shd w:val="clear" w:color="auto" w:fill="FFFFFF"/>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755" w:type="dxa"/>
            <w:tcBorders>
              <w:top w:val="nil"/>
              <w:left w:val="nil"/>
              <w:right w:val="nil"/>
            </w:tcBorders>
            <w:shd w:val="clear" w:color="auto" w:fill="FFFFFF"/>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003" w:type="dxa"/>
            <w:tcBorders>
              <w:top w:val="nil"/>
              <w:left w:val="nil"/>
              <w:right w:val="nil"/>
            </w:tcBorders>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057" w:type="dxa"/>
            <w:tcBorders>
              <w:top w:val="nil"/>
              <w:left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754" w:type="dxa"/>
            <w:tcBorders>
              <w:top w:val="nil"/>
              <w:left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941" w:type="dxa"/>
            <w:tcBorders>
              <w:top w:val="nil"/>
              <w:left w:val="nil"/>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r>
      <w:tr w:rsidR="00022166" w:rsidRPr="00E61652" w:rsidTr="0043791B">
        <w:trPr>
          <w:jc w:val="center"/>
        </w:trPr>
        <w:tc>
          <w:tcPr>
            <w:tcW w:w="2920" w:type="dxa"/>
            <w:tcBorders>
              <w:top w:val="nil"/>
              <w:left w:val="nil"/>
              <w:right w:val="nil"/>
            </w:tcBorders>
            <w:shd w:val="clear" w:color="auto" w:fill="FFFFFF"/>
            <w:hideMark/>
          </w:tcPr>
          <w:p w:rsidR="00C41941" w:rsidRPr="00E61652" w:rsidRDefault="00C41941" w:rsidP="007128B9">
            <w:pPr>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Poor</w:t>
            </w:r>
          </w:p>
        </w:tc>
        <w:tc>
          <w:tcPr>
            <w:tcW w:w="1204" w:type="dxa"/>
            <w:tcBorders>
              <w:top w:val="nil"/>
              <w:left w:val="nil"/>
              <w:right w:val="nil"/>
            </w:tcBorders>
            <w:shd w:val="clear" w:color="auto" w:fill="FFFFFF"/>
            <w:hideMark/>
          </w:tcPr>
          <w:p w:rsidR="00C41941" w:rsidRPr="00E61652" w:rsidRDefault="00C41941" w:rsidP="007128B9">
            <w:pPr>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21 (91.3)</w:t>
            </w:r>
          </w:p>
        </w:tc>
        <w:tc>
          <w:tcPr>
            <w:tcW w:w="1755" w:type="dxa"/>
            <w:tcBorders>
              <w:top w:val="nil"/>
              <w:left w:val="nil"/>
              <w:right w:val="nil"/>
            </w:tcBorders>
            <w:shd w:val="clear" w:color="auto" w:fill="FFFFFF"/>
            <w:hideMark/>
          </w:tcPr>
          <w:p w:rsidR="00C41941" w:rsidRPr="00E61652" w:rsidRDefault="00C41941" w:rsidP="007128B9">
            <w:pPr>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2 (8.7)</w:t>
            </w:r>
          </w:p>
        </w:tc>
        <w:tc>
          <w:tcPr>
            <w:tcW w:w="1003" w:type="dxa"/>
            <w:tcBorders>
              <w:top w:val="nil"/>
              <w:left w:val="nil"/>
              <w:right w:val="nil"/>
            </w:tcBorders>
            <w:hideMark/>
          </w:tcPr>
          <w:p w:rsidR="00C41941" w:rsidRPr="00E61652" w:rsidRDefault="00C41941" w:rsidP="007128B9">
            <w:pPr>
              <w:ind w:left="100" w:right="10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0.196</w:t>
            </w:r>
          </w:p>
        </w:tc>
        <w:tc>
          <w:tcPr>
            <w:tcW w:w="1057" w:type="dxa"/>
            <w:tcBorders>
              <w:top w:val="nil"/>
              <w:left w:val="nil"/>
              <w:right w:val="nil"/>
            </w:tcBorders>
          </w:tcPr>
          <w:p w:rsidR="00C41941" w:rsidRPr="00E61652" w:rsidRDefault="00C41941" w:rsidP="007128B9">
            <w:pPr>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0.54</w:t>
            </w:r>
          </w:p>
        </w:tc>
        <w:tc>
          <w:tcPr>
            <w:tcW w:w="754" w:type="dxa"/>
            <w:tcBorders>
              <w:top w:val="nil"/>
              <w:left w:val="nil"/>
              <w:right w:val="nil"/>
            </w:tcBorders>
          </w:tcPr>
          <w:p w:rsidR="00C41941" w:rsidRPr="00E61652" w:rsidRDefault="00C41941" w:rsidP="007128B9">
            <w:pPr>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0.16</w:t>
            </w:r>
          </w:p>
        </w:tc>
        <w:tc>
          <w:tcPr>
            <w:tcW w:w="941" w:type="dxa"/>
            <w:tcBorders>
              <w:top w:val="nil"/>
              <w:left w:val="nil"/>
              <w:right w:val="nil"/>
            </w:tcBorders>
          </w:tcPr>
          <w:p w:rsidR="00C41941" w:rsidRPr="00E61652" w:rsidRDefault="00C41941" w:rsidP="007128B9">
            <w:pPr>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1.81</w:t>
            </w:r>
          </w:p>
        </w:tc>
      </w:tr>
      <w:tr w:rsidR="00022166" w:rsidRPr="00E61652" w:rsidTr="0043791B">
        <w:trPr>
          <w:jc w:val="center"/>
        </w:trPr>
        <w:tc>
          <w:tcPr>
            <w:tcW w:w="2920" w:type="dxa"/>
            <w:tcBorders>
              <w:top w:val="nil"/>
              <w:left w:val="nil"/>
              <w:bottom w:val="single" w:sz="4" w:space="0" w:color="auto"/>
              <w:right w:val="nil"/>
            </w:tcBorders>
            <w:shd w:val="clear" w:color="auto" w:fill="FFFFFF"/>
            <w:hideMark/>
          </w:tcPr>
          <w:p w:rsidR="00C41941" w:rsidRPr="00E61652" w:rsidRDefault="00C41941" w:rsidP="007128B9">
            <w:pPr>
              <w:ind w:left="100" w:right="100"/>
              <w:jc w:val="center"/>
              <w:rPr>
                <w:rFonts w:ascii="Times New Roman" w:eastAsia="Times New Roman" w:hAnsi="Times New Roman" w:cs="Times New Roman"/>
                <w:sz w:val="20"/>
                <w:szCs w:val="20"/>
                <w:lang w:val="en-GB" w:eastAsia="id-ID"/>
              </w:rPr>
            </w:pPr>
            <w:r w:rsidRPr="00E61652">
              <w:rPr>
                <w:rFonts w:ascii="Times New Roman" w:eastAsia="Times New Roman" w:hAnsi="Times New Roman" w:cs="Times New Roman"/>
                <w:sz w:val="20"/>
                <w:szCs w:val="20"/>
                <w:lang w:val="en-GB" w:eastAsia="id-ID"/>
              </w:rPr>
              <w:t>Good</w:t>
            </w:r>
          </w:p>
        </w:tc>
        <w:tc>
          <w:tcPr>
            <w:tcW w:w="1204" w:type="dxa"/>
            <w:tcBorders>
              <w:top w:val="nil"/>
              <w:left w:val="nil"/>
              <w:bottom w:val="single" w:sz="4" w:space="0" w:color="auto"/>
              <w:right w:val="nil"/>
            </w:tcBorders>
            <w:shd w:val="clear" w:color="auto" w:fill="FFFFFF"/>
            <w:hideMark/>
          </w:tcPr>
          <w:p w:rsidR="00C41941" w:rsidRPr="00E61652" w:rsidRDefault="00C41941" w:rsidP="007128B9">
            <w:pPr>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36 (76.6)</w:t>
            </w:r>
          </w:p>
        </w:tc>
        <w:tc>
          <w:tcPr>
            <w:tcW w:w="1755" w:type="dxa"/>
            <w:tcBorders>
              <w:top w:val="nil"/>
              <w:left w:val="nil"/>
              <w:bottom w:val="single" w:sz="4" w:space="0" w:color="auto"/>
              <w:right w:val="nil"/>
            </w:tcBorders>
            <w:shd w:val="clear" w:color="auto" w:fill="FFFFFF"/>
            <w:hideMark/>
          </w:tcPr>
          <w:p w:rsidR="00C41941" w:rsidRPr="00E61652" w:rsidRDefault="00C41941" w:rsidP="007128B9">
            <w:pPr>
              <w:ind w:left="160" w:right="160"/>
              <w:jc w:val="center"/>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11 (24.4)</w:t>
            </w:r>
          </w:p>
        </w:tc>
        <w:tc>
          <w:tcPr>
            <w:tcW w:w="1003" w:type="dxa"/>
            <w:tcBorders>
              <w:top w:val="nil"/>
              <w:left w:val="nil"/>
              <w:bottom w:val="single" w:sz="4" w:space="0" w:color="auto"/>
              <w:right w:val="nil"/>
            </w:tcBorders>
            <w:hideMark/>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1057" w:type="dxa"/>
            <w:tcBorders>
              <w:top w:val="nil"/>
              <w:left w:val="nil"/>
              <w:bottom w:val="single" w:sz="4" w:space="0" w:color="auto"/>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754" w:type="dxa"/>
            <w:tcBorders>
              <w:top w:val="nil"/>
              <w:left w:val="nil"/>
              <w:bottom w:val="single" w:sz="4" w:space="0" w:color="auto"/>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c>
          <w:tcPr>
            <w:tcW w:w="941" w:type="dxa"/>
            <w:tcBorders>
              <w:top w:val="nil"/>
              <w:left w:val="nil"/>
              <w:bottom w:val="single" w:sz="4" w:space="0" w:color="auto"/>
              <w:right w:val="nil"/>
            </w:tcBorders>
          </w:tcPr>
          <w:p w:rsidR="00C41941" w:rsidRPr="00E61652" w:rsidRDefault="00C41941" w:rsidP="007128B9">
            <w:pPr>
              <w:ind w:left="100" w:right="100"/>
              <w:rPr>
                <w:rFonts w:ascii="Times New Roman" w:eastAsia="Times New Roman" w:hAnsi="Times New Roman" w:cs="Times New Roman"/>
                <w:sz w:val="20"/>
                <w:szCs w:val="20"/>
                <w:lang w:eastAsia="id-ID"/>
              </w:rPr>
            </w:pPr>
          </w:p>
        </w:tc>
      </w:tr>
    </w:tbl>
    <w:p w:rsidR="00C41941" w:rsidRPr="00E61652" w:rsidRDefault="00C41941" w:rsidP="00C41941">
      <w:pPr>
        <w:spacing w:line="240" w:lineRule="atLeast"/>
        <w:jc w:val="both"/>
        <w:rPr>
          <w:rFonts w:ascii="Times New Roman" w:eastAsia="Times New Roman" w:hAnsi="Times New Roman" w:cs="Times New Roman"/>
          <w:sz w:val="20"/>
          <w:szCs w:val="20"/>
          <w:lang w:eastAsia="id-ID"/>
        </w:rPr>
      </w:pPr>
      <w:r w:rsidRPr="00E61652">
        <w:rPr>
          <w:rFonts w:ascii="Times New Roman" w:eastAsia="Times New Roman" w:hAnsi="Times New Roman" w:cs="Times New Roman"/>
          <w:sz w:val="20"/>
          <w:szCs w:val="20"/>
          <w:lang w:eastAsia="id-ID"/>
        </w:rPr>
        <w:t>*): Significant, α = 5%</w:t>
      </w:r>
    </w:p>
    <w:p w:rsidR="00C41941" w:rsidRPr="00E61652" w:rsidRDefault="00C41941" w:rsidP="00C41941">
      <w:pPr>
        <w:spacing w:line="240" w:lineRule="atLeast"/>
        <w:jc w:val="both"/>
        <w:rPr>
          <w:rFonts w:ascii="Times New Roman" w:eastAsia="Times New Roman" w:hAnsi="Times New Roman" w:cs="Times New Roman"/>
          <w:lang w:val="en-GB" w:eastAsia="id-ID"/>
        </w:rPr>
      </w:pPr>
    </w:p>
    <w:p w:rsidR="00C41941" w:rsidRPr="00E61652" w:rsidRDefault="00C41941" w:rsidP="00C41941">
      <w:pPr>
        <w:jc w:val="center"/>
        <w:rPr>
          <w:rFonts w:ascii="Times New Roman" w:eastAsia="Times New Roman" w:hAnsi="Times New Roman" w:cs="Times New Roman"/>
          <w:b/>
          <w:lang w:val="en-GB" w:eastAsia="id-ID"/>
        </w:rPr>
      </w:pPr>
      <w:r w:rsidRPr="00E61652">
        <w:rPr>
          <w:rFonts w:ascii="Times New Roman" w:eastAsia="Times New Roman" w:hAnsi="Times New Roman" w:cs="Times New Roman"/>
          <w:b/>
          <w:bCs/>
          <w:lang w:eastAsia="id-ID"/>
        </w:rPr>
        <w:t xml:space="preserve">Table </w:t>
      </w:r>
      <w:r w:rsidRPr="00E61652">
        <w:rPr>
          <w:rFonts w:ascii="Times New Roman" w:eastAsia="Times New Roman" w:hAnsi="Times New Roman" w:cs="Times New Roman"/>
          <w:b/>
          <w:bCs/>
          <w:lang w:val="en-GB" w:eastAsia="id-ID"/>
        </w:rPr>
        <w:t xml:space="preserve">3 </w:t>
      </w:r>
      <w:r w:rsidRPr="00E61652">
        <w:rPr>
          <w:rFonts w:ascii="Times New Roman" w:eastAsia="Times New Roman" w:hAnsi="Times New Roman" w:cs="Times New Roman"/>
          <w:b/>
          <w:bCs/>
          <w:lang w:eastAsia="id-ID"/>
        </w:rPr>
        <w:t>Multivariat</w:t>
      </w:r>
      <w:r w:rsidRPr="00E61652">
        <w:rPr>
          <w:rFonts w:ascii="Times New Roman" w:eastAsia="Times New Roman" w:hAnsi="Times New Roman" w:cs="Times New Roman"/>
          <w:b/>
          <w:bCs/>
          <w:lang w:val="en-US" w:eastAsia="id-ID"/>
        </w:rPr>
        <w:t>e</w:t>
      </w:r>
      <w:r w:rsidRPr="00E61652">
        <w:rPr>
          <w:rFonts w:ascii="Times New Roman" w:eastAsia="Times New Roman" w:hAnsi="Times New Roman" w:cs="Times New Roman"/>
          <w:b/>
          <w:bCs/>
          <w:lang w:val="en-GB" w:eastAsia="id-ID"/>
        </w:rPr>
        <w:t>a</w:t>
      </w:r>
      <w:r w:rsidRPr="00E61652">
        <w:rPr>
          <w:rFonts w:ascii="Times New Roman" w:eastAsia="Times New Roman" w:hAnsi="Times New Roman" w:cs="Times New Roman"/>
          <w:b/>
          <w:bCs/>
          <w:lang w:eastAsia="id-ID"/>
        </w:rPr>
        <w:t xml:space="preserve">nalysis </w:t>
      </w:r>
      <w:r w:rsidRPr="00E61652">
        <w:rPr>
          <w:rFonts w:ascii="Times New Roman" w:eastAsia="Times New Roman" w:hAnsi="Times New Roman" w:cs="Times New Roman"/>
          <w:b/>
          <w:bCs/>
          <w:lang w:val="en-GB" w:eastAsia="id-ID"/>
        </w:rPr>
        <w:t xml:space="preserve">of </w:t>
      </w:r>
      <w:proofErr w:type="spellStart"/>
      <w:r w:rsidRPr="00E61652">
        <w:rPr>
          <w:rFonts w:ascii="Times New Roman" w:eastAsia="Times New Roman" w:hAnsi="Times New Roman" w:cs="Times New Roman"/>
          <w:b/>
          <w:bCs/>
          <w:lang w:val="en-GB" w:eastAsia="id-ID"/>
        </w:rPr>
        <w:t>logistics</w:t>
      </w:r>
      <w:proofErr w:type="spellEnd"/>
      <w:r w:rsidRPr="00E61652">
        <w:rPr>
          <w:rFonts w:ascii="Times New Roman" w:eastAsia="Times New Roman" w:hAnsi="Times New Roman" w:cs="Times New Roman"/>
          <w:b/>
          <w:bCs/>
          <w:lang w:val="en-GB" w:eastAsia="id-ID"/>
        </w:rPr>
        <w:t xml:space="preserve"> regression (final model)</w:t>
      </w:r>
    </w:p>
    <w:p w:rsidR="00C41941" w:rsidRPr="00E61652" w:rsidRDefault="00C41941" w:rsidP="00C41941">
      <w:pPr>
        <w:spacing w:line="360" w:lineRule="atLeast"/>
        <w:rPr>
          <w:rFonts w:ascii="Times New Roman" w:eastAsia="Times New Roman" w:hAnsi="Times New Roman" w:cs="Times New Roman"/>
          <w:bCs/>
          <w:sz w:val="24"/>
          <w:szCs w:val="24"/>
          <w:lang w:eastAsia="id-ID"/>
        </w:rPr>
      </w:pPr>
    </w:p>
    <w:tbl>
      <w:tblPr>
        <w:tblW w:w="6575"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000"/>
      </w:tblPr>
      <w:tblGrid>
        <w:gridCol w:w="1545"/>
        <w:gridCol w:w="1006"/>
        <w:gridCol w:w="1006"/>
        <w:gridCol w:w="1006"/>
        <w:gridCol w:w="1006"/>
        <w:gridCol w:w="1006"/>
      </w:tblGrid>
      <w:tr w:rsidR="00022166" w:rsidRPr="00E61652" w:rsidTr="007128B9">
        <w:trPr>
          <w:cantSplit/>
          <w:tblHeader/>
          <w:jc w:val="center"/>
        </w:trPr>
        <w:tc>
          <w:tcPr>
            <w:tcW w:w="1545"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rsidR="00C41941" w:rsidRPr="00E61652" w:rsidRDefault="00C41941" w:rsidP="007128B9">
            <w:pPr>
              <w:autoSpaceDE w:val="0"/>
              <w:autoSpaceDN w:val="0"/>
              <w:adjustRightInd w:val="0"/>
              <w:rPr>
                <w:rFonts w:ascii="Times New Roman" w:hAnsi="Times New Roman" w:cs="Times New Roman"/>
                <w:sz w:val="20"/>
                <w:szCs w:val="20"/>
              </w:rPr>
            </w:pPr>
            <w:r w:rsidRPr="00E61652">
              <w:rPr>
                <w:rFonts w:ascii="Times New Roman" w:hAnsi="Times New Roman" w:cs="Times New Roman"/>
                <w:sz w:val="20"/>
                <w:szCs w:val="20"/>
              </w:rPr>
              <w:t xml:space="preserve">Variables </w:t>
            </w:r>
          </w:p>
        </w:tc>
        <w:tc>
          <w:tcPr>
            <w:tcW w:w="1006"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bottom"/>
          </w:tcPr>
          <w:p w:rsidR="00C41941" w:rsidRPr="00E61652" w:rsidRDefault="00C41941" w:rsidP="007128B9">
            <w:pPr>
              <w:autoSpaceDE w:val="0"/>
              <w:autoSpaceDN w:val="0"/>
              <w:adjustRightInd w:val="0"/>
              <w:spacing w:line="320" w:lineRule="atLeast"/>
              <w:jc w:val="center"/>
              <w:rPr>
                <w:rFonts w:ascii="Times New Roman" w:hAnsi="Times New Roman" w:cs="Times New Roman"/>
                <w:sz w:val="20"/>
                <w:szCs w:val="20"/>
              </w:rPr>
            </w:pPr>
            <w:r w:rsidRPr="00E61652">
              <w:rPr>
                <w:rFonts w:ascii="Times New Roman" w:hAnsi="Times New Roman" w:cs="Times New Roman"/>
                <w:sz w:val="20"/>
                <w:szCs w:val="20"/>
              </w:rPr>
              <w:t>B</w:t>
            </w:r>
          </w:p>
        </w:tc>
        <w:tc>
          <w:tcPr>
            <w:tcW w:w="1006"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bottom"/>
          </w:tcPr>
          <w:p w:rsidR="00C41941" w:rsidRPr="00E61652" w:rsidRDefault="00C41941" w:rsidP="007128B9">
            <w:pPr>
              <w:autoSpaceDE w:val="0"/>
              <w:autoSpaceDN w:val="0"/>
              <w:adjustRightInd w:val="0"/>
              <w:spacing w:line="320" w:lineRule="atLeast"/>
              <w:jc w:val="center"/>
              <w:rPr>
                <w:rFonts w:ascii="Times New Roman" w:hAnsi="Times New Roman" w:cs="Times New Roman"/>
                <w:sz w:val="20"/>
                <w:szCs w:val="20"/>
              </w:rPr>
            </w:pPr>
            <w:r w:rsidRPr="00E61652">
              <w:rPr>
                <w:rFonts w:ascii="Times New Roman" w:hAnsi="Times New Roman" w:cs="Times New Roman"/>
                <w:sz w:val="20"/>
                <w:szCs w:val="20"/>
              </w:rPr>
              <w:t>P value</w:t>
            </w:r>
          </w:p>
        </w:tc>
        <w:tc>
          <w:tcPr>
            <w:tcW w:w="1006"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bottom"/>
          </w:tcPr>
          <w:p w:rsidR="00C41941" w:rsidRPr="00E61652" w:rsidRDefault="00C41941" w:rsidP="007128B9">
            <w:pPr>
              <w:autoSpaceDE w:val="0"/>
              <w:autoSpaceDN w:val="0"/>
              <w:adjustRightInd w:val="0"/>
              <w:spacing w:line="320" w:lineRule="atLeast"/>
              <w:jc w:val="center"/>
              <w:rPr>
                <w:rFonts w:ascii="Times New Roman" w:hAnsi="Times New Roman" w:cs="Times New Roman"/>
                <w:sz w:val="20"/>
                <w:szCs w:val="20"/>
              </w:rPr>
            </w:pPr>
            <w:r w:rsidRPr="00E61652">
              <w:rPr>
                <w:rFonts w:ascii="Times New Roman" w:hAnsi="Times New Roman" w:cs="Times New Roman"/>
                <w:sz w:val="20"/>
                <w:szCs w:val="20"/>
              </w:rPr>
              <w:t>OR</w:t>
            </w:r>
          </w:p>
        </w:tc>
        <w:tc>
          <w:tcPr>
            <w:tcW w:w="2012" w:type="dxa"/>
            <w:gridSpan w:val="2"/>
            <w:tcBorders>
              <w:top w:val="single" w:sz="4" w:space="0" w:color="auto"/>
              <w:left w:val="nil"/>
              <w:bottom w:val="nil"/>
              <w:right w:val="nil"/>
            </w:tcBorders>
            <w:shd w:val="clear" w:color="auto" w:fill="FFFFFF"/>
            <w:tcMar>
              <w:top w:w="30" w:type="dxa"/>
              <w:left w:w="30" w:type="dxa"/>
              <w:bottom w:w="30" w:type="dxa"/>
              <w:right w:w="30" w:type="dxa"/>
            </w:tcMar>
            <w:vAlign w:val="bottom"/>
          </w:tcPr>
          <w:p w:rsidR="00C41941" w:rsidRPr="00E61652" w:rsidRDefault="00C41941" w:rsidP="007128B9">
            <w:pPr>
              <w:autoSpaceDE w:val="0"/>
              <w:autoSpaceDN w:val="0"/>
              <w:adjustRightInd w:val="0"/>
              <w:spacing w:line="320" w:lineRule="atLeast"/>
              <w:jc w:val="center"/>
              <w:rPr>
                <w:rFonts w:ascii="Times New Roman" w:hAnsi="Times New Roman" w:cs="Times New Roman"/>
                <w:sz w:val="20"/>
                <w:szCs w:val="20"/>
              </w:rPr>
            </w:pPr>
            <w:r w:rsidRPr="00E61652">
              <w:rPr>
                <w:rFonts w:ascii="Times New Roman" w:hAnsi="Times New Roman" w:cs="Times New Roman"/>
                <w:sz w:val="20"/>
                <w:szCs w:val="20"/>
              </w:rPr>
              <w:t>95% C.I.for OR</w:t>
            </w:r>
          </w:p>
        </w:tc>
      </w:tr>
      <w:tr w:rsidR="00022166" w:rsidRPr="00E61652" w:rsidTr="007128B9">
        <w:trPr>
          <w:cantSplit/>
          <w:tblHeader/>
          <w:jc w:val="center"/>
        </w:trPr>
        <w:tc>
          <w:tcPr>
            <w:tcW w:w="1545" w:type="dxa"/>
            <w:vMerge/>
            <w:tcBorders>
              <w:top w:val="nil"/>
              <w:left w:val="nil"/>
              <w:bottom w:val="single" w:sz="4" w:space="0" w:color="auto"/>
              <w:right w:val="nil"/>
            </w:tcBorders>
            <w:shd w:val="clear" w:color="auto" w:fill="FFFFFF"/>
            <w:tcMar>
              <w:top w:w="30" w:type="dxa"/>
              <w:left w:w="30" w:type="dxa"/>
              <w:bottom w:w="30" w:type="dxa"/>
              <w:right w:w="30" w:type="dxa"/>
            </w:tcMar>
          </w:tcPr>
          <w:p w:rsidR="00C41941" w:rsidRPr="00E61652" w:rsidRDefault="00C41941" w:rsidP="007128B9">
            <w:pPr>
              <w:autoSpaceDE w:val="0"/>
              <w:autoSpaceDN w:val="0"/>
              <w:adjustRightInd w:val="0"/>
              <w:rPr>
                <w:rFonts w:ascii="Times New Roman" w:hAnsi="Times New Roman" w:cs="Times New Roman"/>
                <w:sz w:val="20"/>
                <w:szCs w:val="20"/>
              </w:rPr>
            </w:pPr>
          </w:p>
        </w:tc>
        <w:tc>
          <w:tcPr>
            <w:tcW w:w="1006" w:type="dxa"/>
            <w:vMerge/>
            <w:tcBorders>
              <w:top w:val="nil"/>
              <w:left w:val="nil"/>
              <w:bottom w:val="single" w:sz="4" w:space="0" w:color="auto"/>
              <w:right w:val="nil"/>
            </w:tcBorders>
            <w:shd w:val="clear" w:color="auto" w:fill="FFFFFF"/>
            <w:tcMar>
              <w:top w:w="30" w:type="dxa"/>
              <w:left w:w="30" w:type="dxa"/>
              <w:bottom w:w="30" w:type="dxa"/>
              <w:right w:w="30" w:type="dxa"/>
            </w:tcMar>
            <w:vAlign w:val="bottom"/>
          </w:tcPr>
          <w:p w:rsidR="00C41941" w:rsidRPr="00E61652" w:rsidRDefault="00C41941" w:rsidP="007128B9">
            <w:pPr>
              <w:autoSpaceDE w:val="0"/>
              <w:autoSpaceDN w:val="0"/>
              <w:adjustRightInd w:val="0"/>
              <w:rPr>
                <w:rFonts w:ascii="Times New Roman" w:hAnsi="Times New Roman" w:cs="Times New Roman"/>
                <w:sz w:val="20"/>
                <w:szCs w:val="20"/>
              </w:rPr>
            </w:pPr>
          </w:p>
        </w:tc>
        <w:tc>
          <w:tcPr>
            <w:tcW w:w="1006" w:type="dxa"/>
            <w:vMerge/>
            <w:tcBorders>
              <w:top w:val="nil"/>
              <w:left w:val="nil"/>
              <w:bottom w:val="single" w:sz="4" w:space="0" w:color="auto"/>
              <w:right w:val="nil"/>
            </w:tcBorders>
            <w:shd w:val="clear" w:color="auto" w:fill="FFFFFF"/>
            <w:tcMar>
              <w:top w:w="30" w:type="dxa"/>
              <w:left w:w="30" w:type="dxa"/>
              <w:bottom w:w="30" w:type="dxa"/>
              <w:right w:w="30" w:type="dxa"/>
            </w:tcMar>
            <w:vAlign w:val="bottom"/>
          </w:tcPr>
          <w:p w:rsidR="00C41941" w:rsidRPr="00E61652" w:rsidRDefault="00C41941" w:rsidP="007128B9">
            <w:pPr>
              <w:autoSpaceDE w:val="0"/>
              <w:autoSpaceDN w:val="0"/>
              <w:adjustRightInd w:val="0"/>
              <w:rPr>
                <w:rFonts w:ascii="Times New Roman" w:hAnsi="Times New Roman" w:cs="Times New Roman"/>
                <w:sz w:val="20"/>
                <w:szCs w:val="20"/>
              </w:rPr>
            </w:pPr>
          </w:p>
        </w:tc>
        <w:tc>
          <w:tcPr>
            <w:tcW w:w="1006" w:type="dxa"/>
            <w:vMerge/>
            <w:tcBorders>
              <w:top w:val="nil"/>
              <w:left w:val="nil"/>
              <w:bottom w:val="single" w:sz="4" w:space="0" w:color="auto"/>
              <w:right w:val="nil"/>
            </w:tcBorders>
            <w:shd w:val="clear" w:color="auto" w:fill="FFFFFF"/>
            <w:tcMar>
              <w:top w:w="30" w:type="dxa"/>
              <w:left w:w="30" w:type="dxa"/>
              <w:bottom w:w="30" w:type="dxa"/>
              <w:right w:w="30" w:type="dxa"/>
            </w:tcMar>
            <w:vAlign w:val="bottom"/>
          </w:tcPr>
          <w:p w:rsidR="00C41941" w:rsidRPr="00E61652" w:rsidRDefault="00C41941" w:rsidP="007128B9">
            <w:pPr>
              <w:autoSpaceDE w:val="0"/>
              <w:autoSpaceDN w:val="0"/>
              <w:adjustRightInd w:val="0"/>
              <w:rPr>
                <w:rFonts w:ascii="Times New Roman" w:hAnsi="Times New Roman" w:cs="Times New Roman"/>
                <w:sz w:val="20"/>
                <w:szCs w:val="20"/>
              </w:rPr>
            </w:pPr>
          </w:p>
        </w:tc>
        <w:tc>
          <w:tcPr>
            <w:tcW w:w="1006"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rsidR="00C41941" w:rsidRPr="00E61652" w:rsidRDefault="00C41941" w:rsidP="007128B9">
            <w:pPr>
              <w:autoSpaceDE w:val="0"/>
              <w:autoSpaceDN w:val="0"/>
              <w:adjustRightInd w:val="0"/>
              <w:spacing w:line="320" w:lineRule="atLeast"/>
              <w:jc w:val="center"/>
              <w:rPr>
                <w:rFonts w:ascii="Times New Roman" w:hAnsi="Times New Roman" w:cs="Times New Roman"/>
                <w:sz w:val="20"/>
                <w:szCs w:val="20"/>
                <w:lang w:val="en-GB"/>
              </w:rPr>
            </w:pPr>
            <w:r w:rsidRPr="00E61652">
              <w:rPr>
                <w:rFonts w:ascii="Times New Roman" w:hAnsi="Times New Roman" w:cs="Times New Roman"/>
                <w:sz w:val="20"/>
                <w:szCs w:val="20"/>
                <w:lang w:val="en-GB"/>
              </w:rPr>
              <w:t>Min</w:t>
            </w:r>
          </w:p>
        </w:tc>
        <w:tc>
          <w:tcPr>
            <w:tcW w:w="1006"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rsidR="00C41941" w:rsidRPr="00E61652" w:rsidRDefault="00C41941" w:rsidP="007128B9">
            <w:pPr>
              <w:autoSpaceDE w:val="0"/>
              <w:autoSpaceDN w:val="0"/>
              <w:adjustRightInd w:val="0"/>
              <w:spacing w:line="320" w:lineRule="atLeast"/>
              <w:jc w:val="center"/>
              <w:rPr>
                <w:rFonts w:ascii="Times New Roman" w:hAnsi="Times New Roman" w:cs="Times New Roman"/>
                <w:sz w:val="20"/>
                <w:szCs w:val="20"/>
                <w:lang w:val="en-GB"/>
              </w:rPr>
            </w:pPr>
            <w:r w:rsidRPr="00E61652">
              <w:rPr>
                <w:rFonts w:ascii="Times New Roman" w:hAnsi="Times New Roman" w:cs="Times New Roman"/>
                <w:sz w:val="20"/>
                <w:szCs w:val="20"/>
                <w:lang w:val="en-GB"/>
              </w:rPr>
              <w:t>Max</w:t>
            </w:r>
          </w:p>
        </w:tc>
      </w:tr>
      <w:tr w:rsidR="00022166" w:rsidRPr="00E61652" w:rsidTr="007128B9">
        <w:trPr>
          <w:cantSplit/>
          <w:tblHeader/>
          <w:jc w:val="center"/>
        </w:trPr>
        <w:tc>
          <w:tcPr>
            <w:tcW w:w="1545" w:type="dxa"/>
            <w:tcBorders>
              <w:top w:val="single" w:sz="4" w:space="0" w:color="auto"/>
            </w:tcBorders>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rPr>
                <w:rFonts w:ascii="Times New Roman" w:hAnsi="Times New Roman" w:cs="Times New Roman"/>
                <w:sz w:val="20"/>
                <w:szCs w:val="20"/>
              </w:rPr>
            </w:pPr>
            <w:r w:rsidRPr="00E61652">
              <w:rPr>
                <w:rFonts w:ascii="Times New Roman" w:hAnsi="Times New Roman" w:cs="Times New Roman"/>
                <w:sz w:val="20"/>
                <w:szCs w:val="20"/>
              </w:rPr>
              <w:t>Work status (working)</w:t>
            </w:r>
          </w:p>
        </w:tc>
        <w:tc>
          <w:tcPr>
            <w:tcW w:w="1006" w:type="dxa"/>
            <w:tcBorders>
              <w:top w:val="single" w:sz="4" w:space="0" w:color="auto"/>
            </w:tcBorders>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jc w:val="right"/>
              <w:rPr>
                <w:rFonts w:ascii="Times New Roman" w:hAnsi="Times New Roman" w:cs="Times New Roman"/>
                <w:sz w:val="20"/>
                <w:szCs w:val="20"/>
              </w:rPr>
            </w:pPr>
            <w:r w:rsidRPr="00E61652">
              <w:rPr>
                <w:rFonts w:ascii="Times New Roman" w:hAnsi="Times New Roman" w:cs="Times New Roman"/>
                <w:sz w:val="20"/>
                <w:szCs w:val="20"/>
              </w:rPr>
              <w:t>-3.892</w:t>
            </w:r>
          </w:p>
        </w:tc>
        <w:tc>
          <w:tcPr>
            <w:tcW w:w="1006" w:type="dxa"/>
            <w:tcBorders>
              <w:top w:val="single" w:sz="4" w:space="0" w:color="auto"/>
            </w:tcBorders>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jc w:val="right"/>
              <w:rPr>
                <w:rFonts w:ascii="Times New Roman" w:hAnsi="Times New Roman" w:cs="Times New Roman"/>
                <w:i/>
                <w:sz w:val="20"/>
                <w:szCs w:val="20"/>
              </w:rPr>
            </w:pPr>
            <w:r w:rsidRPr="00E61652">
              <w:rPr>
                <w:rFonts w:ascii="Times New Roman" w:hAnsi="Times New Roman" w:cs="Times New Roman"/>
                <w:i/>
                <w:sz w:val="20"/>
                <w:szCs w:val="20"/>
              </w:rPr>
              <w:t>0.002</w:t>
            </w:r>
          </w:p>
        </w:tc>
        <w:tc>
          <w:tcPr>
            <w:tcW w:w="1006" w:type="dxa"/>
            <w:tcBorders>
              <w:top w:val="single" w:sz="4" w:space="0" w:color="auto"/>
            </w:tcBorders>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jc w:val="right"/>
              <w:rPr>
                <w:rFonts w:ascii="Times New Roman" w:hAnsi="Times New Roman" w:cs="Times New Roman"/>
                <w:sz w:val="20"/>
                <w:szCs w:val="20"/>
              </w:rPr>
            </w:pPr>
            <w:r w:rsidRPr="00E61652">
              <w:rPr>
                <w:rFonts w:ascii="Times New Roman" w:hAnsi="Times New Roman" w:cs="Times New Roman"/>
                <w:sz w:val="20"/>
                <w:szCs w:val="20"/>
              </w:rPr>
              <w:t>0.020</w:t>
            </w:r>
          </w:p>
        </w:tc>
        <w:tc>
          <w:tcPr>
            <w:tcW w:w="1006" w:type="dxa"/>
            <w:tcBorders>
              <w:top w:val="single" w:sz="4" w:space="0" w:color="auto"/>
            </w:tcBorders>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jc w:val="right"/>
              <w:rPr>
                <w:rFonts w:ascii="Times New Roman" w:hAnsi="Times New Roman" w:cs="Times New Roman"/>
                <w:sz w:val="20"/>
                <w:szCs w:val="20"/>
              </w:rPr>
            </w:pPr>
            <w:r w:rsidRPr="00E61652">
              <w:rPr>
                <w:rFonts w:ascii="Times New Roman" w:hAnsi="Times New Roman" w:cs="Times New Roman"/>
                <w:sz w:val="20"/>
                <w:szCs w:val="20"/>
              </w:rPr>
              <w:t>0.002</w:t>
            </w:r>
          </w:p>
        </w:tc>
        <w:tc>
          <w:tcPr>
            <w:tcW w:w="1006" w:type="dxa"/>
            <w:tcBorders>
              <w:top w:val="single" w:sz="4" w:space="0" w:color="auto"/>
            </w:tcBorders>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jc w:val="right"/>
              <w:rPr>
                <w:rFonts w:ascii="Times New Roman" w:hAnsi="Times New Roman" w:cs="Times New Roman"/>
                <w:sz w:val="20"/>
                <w:szCs w:val="20"/>
              </w:rPr>
            </w:pPr>
            <w:r w:rsidRPr="00E61652">
              <w:rPr>
                <w:rFonts w:ascii="Times New Roman" w:hAnsi="Times New Roman" w:cs="Times New Roman"/>
                <w:sz w:val="20"/>
                <w:szCs w:val="20"/>
              </w:rPr>
              <w:t>0.243</w:t>
            </w:r>
          </w:p>
        </w:tc>
      </w:tr>
      <w:tr w:rsidR="00022166" w:rsidRPr="00E61652" w:rsidTr="007128B9">
        <w:trPr>
          <w:cantSplit/>
          <w:tblHeader/>
          <w:jc w:val="center"/>
        </w:trPr>
        <w:tc>
          <w:tcPr>
            <w:tcW w:w="1545" w:type="dxa"/>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rPr>
                <w:rFonts w:ascii="Times New Roman" w:hAnsi="Times New Roman" w:cs="Times New Roman"/>
                <w:sz w:val="20"/>
                <w:szCs w:val="20"/>
                <w:lang w:val="en-US"/>
              </w:rPr>
            </w:pPr>
            <w:r w:rsidRPr="00E61652">
              <w:rPr>
                <w:rFonts w:ascii="Times New Roman" w:hAnsi="Times New Roman" w:cs="Times New Roman"/>
                <w:sz w:val="20"/>
                <w:szCs w:val="20"/>
              </w:rPr>
              <w:t>Age</w:t>
            </w:r>
            <w:r w:rsidRPr="00E61652">
              <w:rPr>
                <w:rFonts w:ascii="Times New Roman" w:hAnsi="Times New Roman" w:cs="Times New Roman"/>
                <w:sz w:val="20"/>
                <w:szCs w:val="20"/>
                <w:lang w:val="en-US"/>
              </w:rPr>
              <w:t xml:space="preserve"> (more than 50 years)</w:t>
            </w:r>
          </w:p>
        </w:tc>
        <w:tc>
          <w:tcPr>
            <w:tcW w:w="1006" w:type="dxa"/>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jc w:val="right"/>
              <w:rPr>
                <w:rFonts w:ascii="Times New Roman" w:hAnsi="Times New Roman" w:cs="Times New Roman"/>
                <w:sz w:val="20"/>
                <w:szCs w:val="20"/>
              </w:rPr>
            </w:pPr>
            <w:r w:rsidRPr="00E61652">
              <w:rPr>
                <w:rFonts w:ascii="Times New Roman" w:hAnsi="Times New Roman" w:cs="Times New Roman"/>
                <w:sz w:val="20"/>
                <w:szCs w:val="20"/>
              </w:rPr>
              <w:t>0.065</w:t>
            </w:r>
          </w:p>
        </w:tc>
        <w:tc>
          <w:tcPr>
            <w:tcW w:w="1006" w:type="dxa"/>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jc w:val="right"/>
              <w:rPr>
                <w:rFonts w:ascii="Times New Roman" w:hAnsi="Times New Roman" w:cs="Times New Roman"/>
                <w:i/>
                <w:sz w:val="20"/>
                <w:szCs w:val="20"/>
              </w:rPr>
            </w:pPr>
            <w:r w:rsidRPr="00E61652">
              <w:rPr>
                <w:rFonts w:ascii="Times New Roman" w:hAnsi="Times New Roman" w:cs="Times New Roman"/>
                <w:i/>
                <w:sz w:val="20"/>
                <w:szCs w:val="20"/>
              </w:rPr>
              <w:t>0.074</w:t>
            </w:r>
          </w:p>
        </w:tc>
        <w:tc>
          <w:tcPr>
            <w:tcW w:w="1006" w:type="dxa"/>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jc w:val="right"/>
              <w:rPr>
                <w:rFonts w:ascii="Times New Roman" w:hAnsi="Times New Roman" w:cs="Times New Roman"/>
                <w:sz w:val="20"/>
                <w:szCs w:val="20"/>
              </w:rPr>
            </w:pPr>
            <w:r w:rsidRPr="00E61652">
              <w:rPr>
                <w:rFonts w:ascii="Times New Roman" w:hAnsi="Times New Roman" w:cs="Times New Roman"/>
                <w:sz w:val="20"/>
                <w:szCs w:val="20"/>
              </w:rPr>
              <w:t>1.068</w:t>
            </w:r>
          </w:p>
        </w:tc>
        <w:tc>
          <w:tcPr>
            <w:tcW w:w="1006" w:type="dxa"/>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jc w:val="right"/>
              <w:rPr>
                <w:rFonts w:ascii="Times New Roman" w:hAnsi="Times New Roman" w:cs="Times New Roman"/>
                <w:sz w:val="20"/>
                <w:szCs w:val="20"/>
              </w:rPr>
            </w:pPr>
            <w:r w:rsidRPr="00E61652">
              <w:rPr>
                <w:rFonts w:ascii="Times New Roman" w:hAnsi="Times New Roman" w:cs="Times New Roman"/>
                <w:sz w:val="20"/>
                <w:szCs w:val="20"/>
              </w:rPr>
              <w:t>0.994</w:t>
            </w:r>
          </w:p>
        </w:tc>
        <w:tc>
          <w:tcPr>
            <w:tcW w:w="1006" w:type="dxa"/>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jc w:val="right"/>
              <w:rPr>
                <w:rFonts w:ascii="Times New Roman" w:hAnsi="Times New Roman" w:cs="Times New Roman"/>
                <w:sz w:val="20"/>
                <w:szCs w:val="20"/>
              </w:rPr>
            </w:pPr>
            <w:r w:rsidRPr="00E61652">
              <w:rPr>
                <w:rFonts w:ascii="Times New Roman" w:hAnsi="Times New Roman" w:cs="Times New Roman"/>
                <w:sz w:val="20"/>
                <w:szCs w:val="20"/>
              </w:rPr>
              <w:t>1.147</w:t>
            </w:r>
          </w:p>
        </w:tc>
      </w:tr>
      <w:tr w:rsidR="00022166" w:rsidRPr="00E61652" w:rsidTr="007128B9">
        <w:trPr>
          <w:cantSplit/>
          <w:tblHeader/>
          <w:jc w:val="center"/>
        </w:trPr>
        <w:tc>
          <w:tcPr>
            <w:tcW w:w="1545" w:type="dxa"/>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rPr>
                <w:rFonts w:ascii="Times New Roman" w:hAnsi="Times New Roman" w:cs="Times New Roman"/>
                <w:sz w:val="20"/>
                <w:szCs w:val="20"/>
                <w:lang w:val="en-US"/>
              </w:rPr>
            </w:pPr>
            <w:r w:rsidRPr="00E61652">
              <w:rPr>
                <w:rFonts w:ascii="Times New Roman" w:hAnsi="Times New Roman" w:cs="Times New Roman"/>
                <w:sz w:val="20"/>
                <w:szCs w:val="20"/>
                <w:lang w:val="en-US"/>
              </w:rPr>
              <w:t>History of p</w:t>
            </w:r>
            <w:r w:rsidRPr="00E61652">
              <w:rPr>
                <w:rFonts w:ascii="Times New Roman" w:hAnsi="Times New Roman" w:cs="Times New Roman"/>
                <w:sz w:val="20"/>
                <w:szCs w:val="20"/>
              </w:rPr>
              <w:t>urin consumption</w:t>
            </w:r>
            <w:r w:rsidRPr="00E61652">
              <w:rPr>
                <w:rFonts w:ascii="Times New Roman" w:hAnsi="Times New Roman" w:cs="Times New Roman"/>
                <w:sz w:val="20"/>
                <w:szCs w:val="20"/>
                <w:lang w:val="en-US"/>
              </w:rPr>
              <w:t xml:space="preserve"> (no)</w:t>
            </w:r>
          </w:p>
        </w:tc>
        <w:tc>
          <w:tcPr>
            <w:tcW w:w="1006" w:type="dxa"/>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jc w:val="right"/>
              <w:rPr>
                <w:rFonts w:ascii="Times New Roman" w:hAnsi="Times New Roman" w:cs="Times New Roman"/>
                <w:sz w:val="20"/>
                <w:szCs w:val="20"/>
              </w:rPr>
            </w:pPr>
            <w:r w:rsidRPr="00E61652">
              <w:rPr>
                <w:rFonts w:ascii="Times New Roman" w:hAnsi="Times New Roman" w:cs="Times New Roman"/>
                <w:sz w:val="20"/>
                <w:szCs w:val="20"/>
              </w:rPr>
              <w:t>-3.508</w:t>
            </w:r>
          </w:p>
        </w:tc>
        <w:tc>
          <w:tcPr>
            <w:tcW w:w="1006" w:type="dxa"/>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jc w:val="right"/>
              <w:rPr>
                <w:rFonts w:ascii="Times New Roman" w:hAnsi="Times New Roman" w:cs="Times New Roman"/>
                <w:i/>
                <w:sz w:val="20"/>
                <w:szCs w:val="20"/>
              </w:rPr>
            </w:pPr>
            <w:r w:rsidRPr="00E61652">
              <w:rPr>
                <w:rFonts w:ascii="Times New Roman" w:hAnsi="Times New Roman" w:cs="Times New Roman"/>
                <w:i/>
                <w:sz w:val="20"/>
                <w:szCs w:val="20"/>
              </w:rPr>
              <w:t>0.012</w:t>
            </w:r>
          </w:p>
        </w:tc>
        <w:tc>
          <w:tcPr>
            <w:tcW w:w="1006" w:type="dxa"/>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jc w:val="right"/>
              <w:rPr>
                <w:rFonts w:ascii="Times New Roman" w:hAnsi="Times New Roman" w:cs="Times New Roman"/>
                <w:sz w:val="20"/>
                <w:szCs w:val="20"/>
              </w:rPr>
            </w:pPr>
            <w:r w:rsidRPr="00E61652">
              <w:rPr>
                <w:rFonts w:ascii="Times New Roman" w:hAnsi="Times New Roman" w:cs="Times New Roman"/>
                <w:sz w:val="20"/>
                <w:szCs w:val="20"/>
              </w:rPr>
              <w:t>0.030</w:t>
            </w:r>
          </w:p>
        </w:tc>
        <w:tc>
          <w:tcPr>
            <w:tcW w:w="1006" w:type="dxa"/>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jc w:val="right"/>
              <w:rPr>
                <w:rFonts w:ascii="Times New Roman" w:hAnsi="Times New Roman" w:cs="Times New Roman"/>
                <w:sz w:val="20"/>
                <w:szCs w:val="20"/>
              </w:rPr>
            </w:pPr>
            <w:r w:rsidRPr="00E61652">
              <w:rPr>
                <w:rFonts w:ascii="Times New Roman" w:hAnsi="Times New Roman" w:cs="Times New Roman"/>
                <w:sz w:val="20"/>
                <w:szCs w:val="20"/>
              </w:rPr>
              <w:t>0.002</w:t>
            </w:r>
          </w:p>
        </w:tc>
        <w:tc>
          <w:tcPr>
            <w:tcW w:w="1006" w:type="dxa"/>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jc w:val="right"/>
              <w:rPr>
                <w:rFonts w:ascii="Times New Roman" w:hAnsi="Times New Roman" w:cs="Times New Roman"/>
                <w:sz w:val="20"/>
                <w:szCs w:val="20"/>
              </w:rPr>
            </w:pPr>
            <w:r w:rsidRPr="00E61652">
              <w:rPr>
                <w:rFonts w:ascii="Times New Roman" w:hAnsi="Times New Roman" w:cs="Times New Roman"/>
                <w:sz w:val="20"/>
                <w:szCs w:val="20"/>
              </w:rPr>
              <w:t>0.461</w:t>
            </w:r>
          </w:p>
        </w:tc>
      </w:tr>
      <w:tr w:rsidR="00022166" w:rsidRPr="00E61652" w:rsidTr="007128B9">
        <w:trPr>
          <w:cantSplit/>
          <w:tblHeader/>
          <w:jc w:val="center"/>
        </w:trPr>
        <w:tc>
          <w:tcPr>
            <w:tcW w:w="1545" w:type="dxa"/>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rPr>
                <w:rFonts w:ascii="Times New Roman" w:hAnsi="Times New Roman" w:cs="Times New Roman"/>
                <w:sz w:val="20"/>
                <w:szCs w:val="20"/>
              </w:rPr>
            </w:pPr>
            <w:r w:rsidRPr="00E61652">
              <w:rPr>
                <w:rFonts w:ascii="Times New Roman" w:hAnsi="Times New Roman" w:cs="Times New Roman"/>
                <w:sz w:val="20"/>
                <w:szCs w:val="20"/>
              </w:rPr>
              <w:t>Constant</w:t>
            </w:r>
          </w:p>
        </w:tc>
        <w:tc>
          <w:tcPr>
            <w:tcW w:w="1006" w:type="dxa"/>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jc w:val="right"/>
              <w:rPr>
                <w:rFonts w:ascii="Times New Roman" w:hAnsi="Times New Roman" w:cs="Times New Roman"/>
                <w:sz w:val="20"/>
                <w:szCs w:val="20"/>
              </w:rPr>
            </w:pPr>
            <w:r w:rsidRPr="00E61652">
              <w:rPr>
                <w:rFonts w:ascii="Times New Roman" w:hAnsi="Times New Roman" w:cs="Times New Roman"/>
                <w:sz w:val="20"/>
                <w:szCs w:val="20"/>
              </w:rPr>
              <w:t>-0.716</w:t>
            </w:r>
          </w:p>
        </w:tc>
        <w:tc>
          <w:tcPr>
            <w:tcW w:w="1006" w:type="dxa"/>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jc w:val="right"/>
              <w:rPr>
                <w:rFonts w:ascii="Times New Roman" w:hAnsi="Times New Roman" w:cs="Times New Roman"/>
                <w:sz w:val="20"/>
                <w:szCs w:val="20"/>
              </w:rPr>
            </w:pPr>
            <w:r w:rsidRPr="00E61652">
              <w:rPr>
                <w:rFonts w:ascii="Times New Roman" w:hAnsi="Times New Roman" w:cs="Times New Roman"/>
                <w:sz w:val="20"/>
                <w:szCs w:val="20"/>
              </w:rPr>
              <w:t>0.685</w:t>
            </w:r>
          </w:p>
        </w:tc>
        <w:tc>
          <w:tcPr>
            <w:tcW w:w="1006" w:type="dxa"/>
            <w:shd w:val="clear" w:color="auto" w:fill="FFFFFF"/>
            <w:tcMar>
              <w:top w:w="30" w:type="dxa"/>
              <w:left w:w="30" w:type="dxa"/>
              <w:bottom w:w="30" w:type="dxa"/>
              <w:right w:w="30" w:type="dxa"/>
            </w:tcMar>
          </w:tcPr>
          <w:p w:rsidR="00C41941" w:rsidRPr="00E61652" w:rsidRDefault="00C41941" w:rsidP="007128B9">
            <w:pPr>
              <w:autoSpaceDE w:val="0"/>
              <w:autoSpaceDN w:val="0"/>
              <w:adjustRightInd w:val="0"/>
              <w:spacing w:line="320" w:lineRule="atLeast"/>
              <w:jc w:val="right"/>
              <w:rPr>
                <w:rFonts w:ascii="Times New Roman" w:hAnsi="Times New Roman" w:cs="Times New Roman"/>
                <w:sz w:val="20"/>
                <w:szCs w:val="20"/>
              </w:rPr>
            </w:pPr>
            <w:r w:rsidRPr="00E61652">
              <w:rPr>
                <w:rFonts w:ascii="Times New Roman" w:hAnsi="Times New Roman" w:cs="Times New Roman"/>
                <w:sz w:val="20"/>
                <w:szCs w:val="20"/>
              </w:rPr>
              <w:t>0.489</w:t>
            </w:r>
          </w:p>
        </w:tc>
        <w:tc>
          <w:tcPr>
            <w:tcW w:w="1006" w:type="dxa"/>
            <w:shd w:val="clear" w:color="auto" w:fill="FFFFFF"/>
            <w:tcMar>
              <w:top w:w="30" w:type="dxa"/>
              <w:left w:w="30" w:type="dxa"/>
              <w:bottom w:w="30" w:type="dxa"/>
              <w:right w:w="30" w:type="dxa"/>
            </w:tcMar>
            <w:vAlign w:val="center"/>
          </w:tcPr>
          <w:p w:rsidR="00C41941" w:rsidRPr="00E61652" w:rsidRDefault="00C41941" w:rsidP="007128B9">
            <w:pPr>
              <w:autoSpaceDE w:val="0"/>
              <w:autoSpaceDN w:val="0"/>
              <w:adjustRightInd w:val="0"/>
              <w:jc w:val="center"/>
              <w:rPr>
                <w:rFonts w:ascii="Times New Roman" w:hAnsi="Times New Roman" w:cs="Times New Roman"/>
                <w:sz w:val="20"/>
                <w:szCs w:val="20"/>
              </w:rPr>
            </w:pPr>
          </w:p>
        </w:tc>
        <w:tc>
          <w:tcPr>
            <w:tcW w:w="1006" w:type="dxa"/>
            <w:shd w:val="clear" w:color="auto" w:fill="FFFFFF"/>
            <w:tcMar>
              <w:top w:w="30" w:type="dxa"/>
              <w:left w:w="30" w:type="dxa"/>
              <w:bottom w:w="30" w:type="dxa"/>
              <w:right w:w="30" w:type="dxa"/>
            </w:tcMar>
            <w:vAlign w:val="center"/>
          </w:tcPr>
          <w:p w:rsidR="00C41941" w:rsidRPr="00E61652" w:rsidRDefault="00C41941" w:rsidP="007128B9">
            <w:pPr>
              <w:autoSpaceDE w:val="0"/>
              <w:autoSpaceDN w:val="0"/>
              <w:adjustRightInd w:val="0"/>
              <w:jc w:val="center"/>
              <w:rPr>
                <w:rFonts w:ascii="Times New Roman" w:hAnsi="Times New Roman" w:cs="Times New Roman"/>
                <w:sz w:val="20"/>
                <w:szCs w:val="20"/>
              </w:rPr>
            </w:pPr>
          </w:p>
        </w:tc>
      </w:tr>
    </w:tbl>
    <w:p w:rsidR="0043791B" w:rsidRPr="00E61652" w:rsidRDefault="0043791B" w:rsidP="00C41941">
      <w:pPr>
        <w:spacing w:line="360" w:lineRule="atLeast"/>
        <w:jc w:val="both"/>
        <w:rPr>
          <w:rFonts w:ascii="Times New Roman" w:eastAsia="Times New Roman" w:hAnsi="Times New Roman" w:cs="Times New Roman"/>
          <w:b/>
          <w:sz w:val="24"/>
          <w:szCs w:val="24"/>
          <w:lang w:val="en-GB" w:eastAsia="id-ID"/>
        </w:rPr>
      </w:pPr>
    </w:p>
    <w:p w:rsidR="00712D30" w:rsidRPr="00E61652" w:rsidRDefault="00712D30" w:rsidP="00C41941">
      <w:pPr>
        <w:spacing w:line="360" w:lineRule="atLeast"/>
        <w:jc w:val="both"/>
        <w:rPr>
          <w:rFonts w:ascii="Times New Roman" w:eastAsia="Times New Roman" w:hAnsi="Times New Roman" w:cs="Times New Roman"/>
          <w:b/>
          <w:sz w:val="24"/>
          <w:szCs w:val="24"/>
          <w:lang w:val="en-GB" w:eastAsia="id-ID"/>
        </w:rPr>
      </w:pPr>
    </w:p>
    <w:p w:rsidR="00C41941" w:rsidRPr="00E61652" w:rsidRDefault="00C41941" w:rsidP="00C41941">
      <w:pPr>
        <w:spacing w:line="360" w:lineRule="atLeast"/>
        <w:jc w:val="both"/>
        <w:rPr>
          <w:rFonts w:ascii="Times New Roman" w:eastAsia="Times New Roman" w:hAnsi="Times New Roman" w:cs="Times New Roman"/>
          <w:b/>
          <w:sz w:val="24"/>
          <w:szCs w:val="24"/>
          <w:lang w:val="en-GB" w:eastAsia="id-ID"/>
        </w:rPr>
      </w:pPr>
      <w:proofErr w:type="spellStart"/>
      <w:r w:rsidRPr="00E61652">
        <w:rPr>
          <w:rFonts w:ascii="Times New Roman" w:eastAsia="Times New Roman" w:hAnsi="Times New Roman" w:cs="Times New Roman"/>
          <w:b/>
          <w:sz w:val="24"/>
          <w:szCs w:val="24"/>
          <w:lang w:val="en-GB" w:eastAsia="id-ID"/>
        </w:rPr>
        <w:t>Bivariate</w:t>
      </w:r>
      <w:proofErr w:type="spellEnd"/>
      <w:r w:rsidRPr="00E61652">
        <w:rPr>
          <w:rFonts w:ascii="Times New Roman" w:eastAsia="Times New Roman" w:hAnsi="Times New Roman" w:cs="Times New Roman"/>
          <w:b/>
          <w:sz w:val="24"/>
          <w:szCs w:val="24"/>
          <w:lang w:val="en-GB" w:eastAsia="id-ID"/>
        </w:rPr>
        <w:t xml:space="preserve"> analysis</w:t>
      </w:r>
    </w:p>
    <w:p w:rsidR="00C41941" w:rsidRPr="00E61652" w:rsidRDefault="00C41941" w:rsidP="00C41941">
      <w:pPr>
        <w:spacing w:line="360" w:lineRule="atLeast"/>
        <w:ind w:firstLine="720"/>
        <w:jc w:val="both"/>
        <w:rPr>
          <w:rFonts w:ascii="Times New Roman" w:eastAsia="Times New Roman" w:hAnsi="Times New Roman" w:cs="Times New Roman"/>
          <w:sz w:val="24"/>
          <w:szCs w:val="24"/>
          <w:lang w:val="en-GB" w:eastAsia="id-ID"/>
        </w:rPr>
      </w:pPr>
      <w:r w:rsidRPr="00E61652">
        <w:rPr>
          <w:rStyle w:val="A3"/>
          <w:rFonts w:ascii="Times New Roman" w:hAnsi="Times New Roman" w:cs="Times New Roman"/>
          <w:color w:val="auto"/>
          <w:sz w:val="24"/>
          <w:szCs w:val="24"/>
        </w:rPr>
        <w:t>Bivariate analysis showed</w:t>
      </w:r>
      <w:r w:rsidRPr="00E61652">
        <w:rPr>
          <w:rStyle w:val="A3"/>
          <w:rFonts w:ascii="Times New Roman" w:hAnsi="Times New Roman" w:cs="Times New Roman"/>
          <w:color w:val="auto"/>
          <w:sz w:val="24"/>
          <w:szCs w:val="24"/>
          <w:lang w:val="en-GB"/>
        </w:rPr>
        <w:t xml:space="preserve"> that gender (male) and working status (working) had relationship with </w:t>
      </w:r>
      <w:proofErr w:type="spellStart"/>
      <w:r w:rsidRPr="00E61652">
        <w:rPr>
          <w:rStyle w:val="A3"/>
          <w:rFonts w:ascii="Times New Roman" w:hAnsi="Times New Roman" w:cs="Times New Roman"/>
          <w:color w:val="auto"/>
          <w:sz w:val="24"/>
          <w:szCs w:val="24"/>
          <w:lang w:val="en-GB"/>
        </w:rPr>
        <w:t>hyperuricemia</w:t>
      </w:r>
      <w:proofErr w:type="spellEnd"/>
      <w:r w:rsidRPr="00E61652">
        <w:rPr>
          <w:rStyle w:val="A3"/>
          <w:rFonts w:ascii="Times New Roman" w:hAnsi="Times New Roman" w:cs="Times New Roman"/>
          <w:color w:val="auto"/>
          <w:sz w:val="24"/>
          <w:szCs w:val="24"/>
          <w:lang w:val="en-GB"/>
        </w:rPr>
        <w:t xml:space="preserve">. However there aren’t relationships between age, level </w:t>
      </w:r>
      <w:r w:rsidRPr="00E61652">
        <w:rPr>
          <w:rStyle w:val="A3"/>
          <w:rFonts w:ascii="Times New Roman" w:hAnsi="Times New Roman" w:cs="Times New Roman"/>
          <w:color w:val="auto"/>
          <w:sz w:val="24"/>
          <w:szCs w:val="24"/>
          <w:lang w:val="en-GB"/>
        </w:rPr>
        <w:lastRenderedPageBreak/>
        <w:t xml:space="preserve">of education, history of </w:t>
      </w:r>
      <w:proofErr w:type="spellStart"/>
      <w:r w:rsidRPr="00E61652">
        <w:rPr>
          <w:rStyle w:val="A3"/>
          <w:rFonts w:ascii="Times New Roman" w:hAnsi="Times New Roman" w:cs="Times New Roman"/>
          <w:color w:val="auto"/>
          <w:sz w:val="24"/>
          <w:szCs w:val="24"/>
          <w:lang w:val="en-GB"/>
        </w:rPr>
        <w:t>purin</w:t>
      </w:r>
      <w:proofErr w:type="spellEnd"/>
      <w:r w:rsidRPr="00E61652">
        <w:rPr>
          <w:rStyle w:val="A3"/>
          <w:rFonts w:ascii="Times New Roman" w:hAnsi="Times New Roman" w:cs="Times New Roman"/>
          <w:color w:val="auto"/>
          <w:sz w:val="24"/>
          <w:szCs w:val="24"/>
          <w:lang w:val="en-GB"/>
        </w:rPr>
        <w:t xml:space="preserve"> consumption and knowledge on </w:t>
      </w:r>
      <w:proofErr w:type="spellStart"/>
      <w:r w:rsidRPr="00E61652">
        <w:rPr>
          <w:rStyle w:val="A3"/>
          <w:rFonts w:ascii="Times New Roman" w:hAnsi="Times New Roman" w:cs="Times New Roman"/>
          <w:color w:val="auto"/>
          <w:sz w:val="24"/>
          <w:szCs w:val="24"/>
          <w:lang w:val="en-GB"/>
        </w:rPr>
        <w:t>nutrional</w:t>
      </w:r>
      <w:proofErr w:type="spellEnd"/>
      <w:r w:rsidRPr="00E61652">
        <w:rPr>
          <w:rStyle w:val="A3"/>
          <w:rFonts w:ascii="Times New Roman" w:hAnsi="Times New Roman" w:cs="Times New Roman"/>
          <w:color w:val="auto"/>
          <w:sz w:val="24"/>
          <w:szCs w:val="24"/>
          <w:lang w:val="en-GB"/>
        </w:rPr>
        <w:t xml:space="preserve"> with </w:t>
      </w:r>
      <w:proofErr w:type="spellStart"/>
      <w:r w:rsidRPr="00E61652">
        <w:rPr>
          <w:rStyle w:val="A3"/>
          <w:rFonts w:ascii="Times New Roman" w:hAnsi="Times New Roman" w:cs="Times New Roman"/>
          <w:color w:val="auto"/>
          <w:sz w:val="24"/>
          <w:szCs w:val="24"/>
          <w:lang w:val="en-GB"/>
        </w:rPr>
        <w:t>hyperuricemia</w:t>
      </w:r>
      <w:proofErr w:type="spellEnd"/>
      <w:r w:rsidRPr="00E61652">
        <w:rPr>
          <w:rStyle w:val="A3"/>
          <w:rFonts w:ascii="Times New Roman" w:hAnsi="Times New Roman" w:cs="Times New Roman"/>
          <w:color w:val="auto"/>
          <w:sz w:val="24"/>
          <w:szCs w:val="24"/>
          <w:lang w:val="en-GB"/>
        </w:rPr>
        <w:t xml:space="preserve">. </w:t>
      </w:r>
    </w:p>
    <w:p w:rsidR="00C41941" w:rsidRPr="00E61652" w:rsidRDefault="00C41941" w:rsidP="00C41941">
      <w:pPr>
        <w:spacing w:line="360" w:lineRule="atLeast"/>
        <w:jc w:val="both"/>
        <w:rPr>
          <w:rFonts w:ascii="Times New Roman" w:hAnsi="Times New Roman" w:cs="Times New Roman"/>
          <w:sz w:val="24"/>
          <w:szCs w:val="24"/>
          <w:lang w:val="en-GB" w:eastAsia="id-ID"/>
        </w:rPr>
      </w:pPr>
    </w:p>
    <w:p w:rsidR="00C41941" w:rsidRPr="00E61652" w:rsidRDefault="00C41941" w:rsidP="00C41941">
      <w:pPr>
        <w:spacing w:line="360" w:lineRule="atLeast"/>
        <w:jc w:val="both"/>
        <w:rPr>
          <w:rFonts w:ascii="Times New Roman" w:hAnsi="Times New Roman" w:cs="Times New Roman"/>
          <w:b/>
          <w:sz w:val="24"/>
          <w:szCs w:val="24"/>
          <w:lang w:val="en-GB" w:eastAsia="id-ID"/>
        </w:rPr>
      </w:pPr>
      <w:r w:rsidRPr="00E61652">
        <w:rPr>
          <w:rFonts w:ascii="Times New Roman" w:hAnsi="Times New Roman" w:cs="Times New Roman"/>
          <w:b/>
          <w:sz w:val="24"/>
          <w:szCs w:val="24"/>
          <w:lang w:val="en-GB" w:eastAsia="id-ID"/>
        </w:rPr>
        <w:t>Multivariate analysis</w:t>
      </w:r>
    </w:p>
    <w:p w:rsidR="00C41941" w:rsidRPr="00E61652" w:rsidRDefault="00C41941" w:rsidP="00C41941">
      <w:pPr>
        <w:spacing w:line="360" w:lineRule="atLeast"/>
        <w:ind w:firstLine="720"/>
        <w:jc w:val="both"/>
        <w:rPr>
          <w:rFonts w:ascii="Times New Roman" w:eastAsia="Times New Roman" w:hAnsi="Times New Roman" w:cs="Times New Roman"/>
          <w:sz w:val="24"/>
          <w:szCs w:val="24"/>
          <w:lang w:val="en-GB" w:eastAsia="id-ID"/>
        </w:rPr>
      </w:pPr>
      <w:r w:rsidRPr="00E61652">
        <w:rPr>
          <w:rFonts w:ascii="Times New Roman" w:hAnsi="Times New Roman" w:cs="Times New Roman"/>
          <w:sz w:val="24"/>
          <w:szCs w:val="24"/>
          <w:lang w:eastAsia="id-ID"/>
        </w:rPr>
        <w:t xml:space="preserve">The multivariat analysis shows that work status, age and purin consumption were related with hyperuricemia. </w:t>
      </w:r>
    </w:p>
    <w:p w:rsidR="00C41941" w:rsidRPr="00E61652" w:rsidRDefault="00C41941" w:rsidP="00C41941">
      <w:pPr>
        <w:spacing w:line="360" w:lineRule="atLeast"/>
        <w:ind w:firstLine="720"/>
        <w:jc w:val="both"/>
        <w:rPr>
          <w:rFonts w:ascii="Times New Roman" w:eastAsia="Times New Roman" w:hAnsi="Times New Roman" w:cs="Times New Roman"/>
          <w:sz w:val="24"/>
          <w:szCs w:val="24"/>
          <w:lang w:val="en-GB" w:eastAsia="id-ID"/>
        </w:rPr>
      </w:pPr>
    </w:p>
    <w:p w:rsidR="00C41941" w:rsidRPr="00E61652" w:rsidRDefault="00C41941" w:rsidP="00C41941">
      <w:pPr>
        <w:spacing w:line="360" w:lineRule="auto"/>
        <w:jc w:val="both"/>
        <w:rPr>
          <w:rFonts w:ascii="Times New Roman" w:eastAsia="Times New Roman" w:hAnsi="Times New Roman" w:cs="Times New Roman"/>
          <w:b/>
          <w:sz w:val="24"/>
          <w:szCs w:val="24"/>
          <w:lang w:val="en-GB" w:eastAsia="id-ID"/>
        </w:rPr>
      </w:pPr>
      <w:r w:rsidRPr="00E61652">
        <w:rPr>
          <w:rFonts w:ascii="Times New Roman" w:eastAsia="Times New Roman" w:hAnsi="Times New Roman" w:cs="Times New Roman"/>
          <w:b/>
          <w:sz w:val="24"/>
          <w:szCs w:val="24"/>
          <w:lang w:val="en-GB" w:eastAsia="id-ID"/>
        </w:rPr>
        <w:t>Discussion</w:t>
      </w:r>
    </w:p>
    <w:p w:rsidR="00C41941" w:rsidRPr="00E61652" w:rsidRDefault="00C41941" w:rsidP="00C41941">
      <w:pPr>
        <w:spacing w:line="360" w:lineRule="auto"/>
        <w:ind w:firstLine="720"/>
        <w:jc w:val="both"/>
        <w:rPr>
          <w:rFonts w:ascii="Times New Roman" w:eastAsia="Times New Roman" w:hAnsi="Times New Roman" w:cs="Times New Roman"/>
          <w:sz w:val="24"/>
          <w:szCs w:val="24"/>
          <w:lang w:val="en-GB" w:eastAsia="id-ID"/>
        </w:rPr>
      </w:pPr>
      <w:r w:rsidRPr="00E61652">
        <w:rPr>
          <w:rFonts w:ascii="Times New Roman" w:eastAsia="Times New Roman" w:hAnsi="Times New Roman" w:cs="Times New Roman"/>
          <w:sz w:val="24"/>
          <w:szCs w:val="24"/>
          <w:lang w:val="en-GB" w:eastAsia="id-ID"/>
        </w:rPr>
        <w:t xml:space="preserve">In this study, </w:t>
      </w:r>
      <w:r w:rsidRPr="00E61652">
        <w:rPr>
          <w:rFonts w:ascii="Times New Roman" w:eastAsia="Times New Roman" w:hAnsi="Times New Roman" w:cs="Times New Roman"/>
          <w:sz w:val="24"/>
          <w:szCs w:val="24"/>
          <w:lang w:eastAsia="id-ID"/>
        </w:rPr>
        <w:t xml:space="preserve">respondents who suffer from </w:t>
      </w:r>
      <w:proofErr w:type="spellStart"/>
      <w:r w:rsidRPr="00E61652">
        <w:rPr>
          <w:rFonts w:ascii="Times New Roman" w:eastAsia="Times New Roman" w:hAnsi="Times New Roman" w:cs="Times New Roman"/>
          <w:sz w:val="24"/>
          <w:szCs w:val="24"/>
          <w:lang w:val="en-GB" w:eastAsia="id-ID"/>
        </w:rPr>
        <w:t>hyperuricemia</w:t>
      </w:r>
      <w:proofErr w:type="spellEnd"/>
      <w:r w:rsidRPr="00E61652">
        <w:rPr>
          <w:rFonts w:ascii="Times New Roman" w:eastAsia="Times New Roman" w:hAnsi="Times New Roman" w:cs="Times New Roman"/>
          <w:sz w:val="24"/>
          <w:szCs w:val="24"/>
          <w:lang w:eastAsia="id-ID"/>
        </w:rPr>
        <w:t xml:space="preserve"> in the Village Pancoran Mas, Depok </w:t>
      </w:r>
      <w:r w:rsidRPr="00E61652">
        <w:rPr>
          <w:rFonts w:ascii="Times New Roman" w:eastAsia="Times New Roman" w:hAnsi="Times New Roman" w:cs="Times New Roman"/>
          <w:sz w:val="24"/>
          <w:szCs w:val="24"/>
          <w:lang w:val="en-GB" w:eastAsia="id-ID"/>
        </w:rPr>
        <w:t>was</w:t>
      </w:r>
      <w:r w:rsidRPr="00E61652">
        <w:rPr>
          <w:rFonts w:ascii="Times New Roman" w:eastAsia="Times New Roman" w:hAnsi="Times New Roman" w:cs="Times New Roman"/>
          <w:sz w:val="24"/>
          <w:szCs w:val="24"/>
          <w:lang w:eastAsia="id-ID"/>
        </w:rPr>
        <w:t xml:space="preserve"> 18.6%. Th</w:t>
      </w:r>
      <w:r w:rsidRPr="00E61652">
        <w:rPr>
          <w:rFonts w:ascii="Times New Roman" w:eastAsia="Times New Roman" w:hAnsi="Times New Roman" w:cs="Times New Roman"/>
          <w:sz w:val="24"/>
          <w:szCs w:val="24"/>
          <w:lang w:val="en-GB" w:eastAsia="id-ID"/>
        </w:rPr>
        <w:t xml:space="preserve">is finding was similar with </w:t>
      </w:r>
      <w:r w:rsidRPr="00E61652">
        <w:rPr>
          <w:rFonts w:ascii="Times New Roman" w:eastAsia="Times New Roman" w:hAnsi="Times New Roman" w:cs="Times New Roman"/>
          <w:sz w:val="24"/>
          <w:szCs w:val="24"/>
          <w:lang w:eastAsia="id-ID"/>
        </w:rPr>
        <w:t>other</w:t>
      </w:r>
      <w:r w:rsidRPr="00E61652">
        <w:rPr>
          <w:rFonts w:ascii="Times New Roman" w:eastAsia="Times New Roman" w:hAnsi="Times New Roman" w:cs="Times New Roman"/>
          <w:sz w:val="24"/>
          <w:szCs w:val="24"/>
          <w:lang w:val="en-GB" w:eastAsia="id-ID"/>
        </w:rPr>
        <w:t xml:space="preserve"> study in Indonesia. </w:t>
      </w:r>
      <w:r w:rsidRPr="00E61652">
        <w:rPr>
          <w:rFonts w:ascii="Times New Roman" w:eastAsia="Times New Roman" w:hAnsi="Times New Roman" w:cs="Times New Roman"/>
          <w:sz w:val="24"/>
          <w:szCs w:val="24"/>
          <w:lang w:eastAsia="id-ID"/>
        </w:rPr>
        <w:t xml:space="preserve"> The prevalence of hyperuricemia in Legian Kuta, Bali in 2008 </w:t>
      </w:r>
      <w:r w:rsidRPr="00E61652">
        <w:rPr>
          <w:rFonts w:ascii="Times New Roman" w:eastAsia="Times New Roman" w:hAnsi="Times New Roman" w:cs="Times New Roman"/>
          <w:sz w:val="24"/>
          <w:szCs w:val="24"/>
          <w:lang w:val="en-GB" w:eastAsia="id-ID"/>
        </w:rPr>
        <w:t xml:space="preserve">was </w:t>
      </w:r>
      <w:r w:rsidRPr="00E61652">
        <w:rPr>
          <w:rFonts w:ascii="Times New Roman" w:eastAsia="Times New Roman" w:hAnsi="Times New Roman" w:cs="Times New Roman"/>
          <w:sz w:val="24"/>
          <w:szCs w:val="24"/>
          <w:lang w:eastAsia="id-ID"/>
        </w:rPr>
        <w:t>16.9%</w:t>
      </w:r>
      <w:r w:rsidRPr="00E61652">
        <w:rPr>
          <w:rFonts w:ascii="Times New Roman" w:eastAsia="Times New Roman" w:hAnsi="Times New Roman" w:cs="Times New Roman"/>
          <w:sz w:val="24"/>
          <w:szCs w:val="24"/>
          <w:lang w:val="en-GB" w:eastAsia="id-ID"/>
        </w:rPr>
        <w:t xml:space="preserve">. Moreover </w:t>
      </w:r>
      <w:r w:rsidRPr="00E61652">
        <w:rPr>
          <w:rFonts w:ascii="Times New Roman" w:eastAsia="Times New Roman" w:hAnsi="Times New Roman" w:cs="Times New Roman"/>
          <w:sz w:val="24"/>
          <w:szCs w:val="24"/>
          <w:lang w:eastAsia="id-ID"/>
        </w:rPr>
        <w:t>this figure is similar to previous studies in other areas of Bali. Like a preliminary study in the village of Sembiran</w:t>
      </w:r>
      <w:r w:rsidRPr="00E61652">
        <w:rPr>
          <w:rFonts w:ascii="Times New Roman" w:eastAsia="Times New Roman" w:hAnsi="Times New Roman" w:cs="Times New Roman"/>
          <w:sz w:val="24"/>
          <w:szCs w:val="24"/>
          <w:lang w:val="en-GB" w:eastAsia="id-ID"/>
        </w:rPr>
        <w:t xml:space="preserve"> with</w:t>
      </w:r>
      <w:r w:rsidRPr="00E61652">
        <w:rPr>
          <w:rFonts w:ascii="Times New Roman" w:eastAsia="Times New Roman" w:hAnsi="Times New Roman" w:cs="Times New Roman"/>
          <w:sz w:val="24"/>
          <w:szCs w:val="24"/>
          <w:lang w:eastAsia="id-ID"/>
        </w:rPr>
        <w:t xml:space="preserve"> 18.2%, the research on the island of Bali Ceningan </w:t>
      </w:r>
      <w:r w:rsidRPr="00E61652">
        <w:rPr>
          <w:rFonts w:ascii="Times New Roman" w:eastAsia="Times New Roman" w:hAnsi="Times New Roman" w:cs="Times New Roman"/>
          <w:sz w:val="24"/>
          <w:szCs w:val="24"/>
          <w:lang w:val="en-GB" w:eastAsia="id-ID"/>
        </w:rPr>
        <w:t>with</w:t>
      </w:r>
      <w:r w:rsidRPr="00E61652">
        <w:rPr>
          <w:rFonts w:ascii="Times New Roman" w:eastAsia="Times New Roman" w:hAnsi="Times New Roman" w:cs="Times New Roman"/>
          <w:sz w:val="24"/>
          <w:szCs w:val="24"/>
          <w:lang w:eastAsia="id-ID"/>
        </w:rPr>
        <w:t xml:space="preserve"> 17%, research in Denpasar </w:t>
      </w:r>
      <w:r w:rsidRPr="00E61652">
        <w:rPr>
          <w:rFonts w:ascii="Times New Roman" w:eastAsia="Times New Roman" w:hAnsi="Times New Roman" w:cs="Times New Roman"/>
          <w:sz w:val="24"/>
          <w:szCs w:val="24"/>
          <w:lang w:val="en-GB" w:eastAsia="id-ID"/>
        </w:rPr>
        <w:t>with</w:t>
      </w:r>
      <w:r w:rsidRPr="00E61652">
        <w:rPr>
          <w:rFonts w:ascii="Times New Roman" w:eastAsia="Times New Roman" w:hAnsi="Times New Roman" w:cs="Times New Roman"/>
          <w:sz w:val="24"/>
          <w:szCs w:val="24"/>
          <w:lang w:eastAsia="id-ID"/>
        </w:rPr>
        <w:t xml:space="preserve"> 18.2%, whereas in the Ubud area is around 12% and the village of Tenganan Pegrisingan Karengasam 2008 of 18.63%</w:t>
      </w:r>
      <w:r w:rsidRPr="00E61652">
        <w:rPr>
          <w:rFonts w:ascii="Times New Roman" w:eastAsia="Times New Roman" w:hAnsi="Times New Roman" w:cs="Times New Roman"/>
          <w:sz w:val="24"/>
          <w:szCs w:val="24"/>
          <w:lang w:val="en-GB" w:eastAsia="id-ID"/>
        </w:rPr>
        <w:t xml:space="preserve">. </w:t>
      </w:r>
      <w:proofErr w:type="spellStart"/>
      <w:r w:rsidRPr="00E61652">
        <w:rPr>
          <w:rFonts w:ascii="Times New Roman" w:eastAsia="Times New Roman" w:hAnsi="Times New Roman" w:cs="Times New Roman"/>
          <w:sz w:val="24"/>
          <w:szCs w:val="24"/>
          <w:lang w:val="en-GB" w:eastAsia="id-ID"/>
        </w:rPr>
        <w:t>More over</w:t>
      </w:r>
      <w:proofErr w:type="spellEnd"/>
      <w:r w:rsidRPr="00E61652">
        <w:rPr>
          <w:rFonts w:ascii="Times New Roman" w:eastAsia="Times New Roman" w:hAnsi="Times New Roman" w:cs="Times New Roman"/>
          <w:sz w:val="24"/>
          <w:szCs w:val="24"/>
          <w:lang w:val="en-GB" w:eastAsia="id-ID"/>
        </w:rPr>
        <w:t>, r</w:t>
      </w:r>
      <w:r w:rsidRPr="00E61652">
        <w:rPr>
          <w:rFonts w:ascii="Times New Roman" w:eastAsia="Times New Roman" w:hAnsi="Times New Roman" w:cs="Times New Roman"/>
          <w:sz w:val="24"/>
          <w:szCs w:val="24"/>
          <w:lang w:eastAsia="id-ID"/>
        </w:rPr>
        <w:t xml:space="preserve">esearch </w:t>
      </w:r>
      <w:r w:rsidRPr="00E61652">
        <w:rPr>
          <w:rFonts w:ascii="Times New Roman" w:eastAsia="Times New Roman" w:hAnsi="Times New Roman" w:cs="Times New Roman"/>
          <w:sz w:val="24"/>
          <w:szCs w:val="24"/>
          <w:lang w:val="en-GB" w:eastAsia="id-ID"/>
        </w:rPr>
        <w:t xml:space="preserve">in the </w:t>
      </w:r>
      <w:r w:rsidRPr="00E61652">
        <w:rPr>
          <w:rFonts w:ascii="Times New Roman" w:eastAsia="Times New Roman" w:hAnsi="Times New Roman" w:cs="Times New Roman"/>
          <w:sz w:val="24"/>
          <w:szCs w:val="24"/>
          <w:lang w:eastAsia="id-ID"/>
        </w:rPr>
        <w:t>rural population in Central Java, found the prevalence of hyperuricemia was 24.3%.</w:t>
      </w:r>
      <w:r w:rsidR="00163329" w:rsidRPr="00E61652">
        <w:rPr>
          <w:rFonts w:ascii="Times New Roman" w:eastAsia="Times New Roman" w:hAnsi="Times New Roman" w:cs="Times New Roman"/>
          <w:sz w:val="24"/>
          <w:szCs w:val="24"/>
          <w:vertAlign w:val="superscript"/>
          <w:lang w:val="en-GB" w:eastAsia="id-ID"/>
        </w:rPr>
        <w:t>6</w:t>
      </w:r>
    </w:p>
    <w:p w:rsidR="00C41941" w:rsidRPr="00E61652" w:rsidRDefault="00C41941" w:rsidP="00C41941">
      <w:pPr>
        <w:spacing w:line="360" w:lineRule="auto"/>
        <w:ind w:firstLine="720"/>
        <w:jc w:val="both"/>
        <w:rPr>
          <w:rFonts w:ascii="Times New Roman" w:eastAsia="Times New Roman" w:hAnsi="Times New Roman" w:cs="Times New Roman"/>
          <w:sz w:val="24"/>
          <w:szCs w:val="24"/>
          <w:lang w:val="en-GB" w:eastAsia="id-ID"/>
        </w:rPr>
      </w:pPr>
      <w:r w:rsidRPr="00E61652">
        <w:rPr>
          <w:rFonts w:ascii="Times New Roman" w:eastAsia="Times New Roman" w:hAnsi="Times New Roman" w:cs="Times New Roman"/>
          <w:sz w:val="24"/>
          <w:szCs w:val="24"/>
          <w:lang w:eastAsia="id-ID"/>
        </w:rPr>
        <w:t xml:space="preserve">The results showed that </w:t>
      </w:r>
      <w:r w:rsidRPr="00E61652">
        <w:rPr>
          <w:rFonts w:ascii="Times New Roman" w:eastAsia="Times New Roman" w:hAnsi="Times New Roman" w:cs="Times New Roman"/>
          <w:sz w:val="24"/>
          <w:szCs w:val="24"/>
          <w:lang w:val="en-GB" w:eastAsia="id-ID"/>
        </w:rPr>
        <w:t>age</w:t>
      </w:r>
      <w:r w:rsidRPr="00E61652">
        <w:rPr>
          <w:rFonts w:ascii="Times New Roman" w:eastAsia="Times New Roman" w:hAnsi="Times New Roman" w:cs="Times New Roman"/>
          <w:sz w:val="24"/>
          <w:szCs w:val="24"/>
          <w:lang w:eastAsia="id-ID"/>
        </w:rPr>
        <w:t xml:space="preserve"> does not significantly affect </w:t>
      </w:r>
      <w:r w:rsidRPr="00E61652">
        <w:rPr>
          <w:rFonts w:ascii="Times New Roman" w:eastAsia="Times New Roman" w:hAnsi="Times New Roman" w:cs="Times New Roman"/>
          <w:sz w:val="24"/>
          <w:szCs w:val="24"/>
          <w:lang w:val="en-GB" w:eastAsia="id-ID"/>
        </w:rPr>
        <w:t xml:space="preserve">prevalence of </w:t>
      </w:r>
      <w:proofErr w:type="spellStart"/>
      <w:r w:rsidRPr="00E61652">
        <w:rPr>
          <w:rFonts w:ascii="Times New Roman" w:eastAsia="Times New Roman" w:hAnsi="Times New Roman" w:cs="Times New Roman"/>
          <w:sz w:val="24"/>
          <w:szCs w:val="24"/>
          <w:lang w:val="en-GB" w:eastAsia="id-ID"/>
        </w:rPr>
        <w:t>hyperuricemia</w:t>
      </w:r>
      <w:proofErr w:type="spellEnd"/>
      <w:r w:rsidRPr="00E61652">
        <w:rPr>
          <w:rFonts w:ascii="Times New Roman" w:eastAsia="Times New Roman" w:hAnsi="Times New Roman" w:cs="Times New Roman"/>
          <w:sz w:val="24"/>
          <w:szCs w:val="24"/>
          <w:lang w:eastAsia="id-ID"/>
        </w:rPr>
        <w:t>. </w:t>
      </w:r>
      <w:r w:rsidRPr="00E61652">
        <w:rPr>
          <w:rFonts w:ascii="Times New Roman" w:eastAsia="Times New Roman" w:hAnsi="Times New Roman" w:cs="Times New Roman"/>
          <w:sz w:val="24"/>
          <w:szCs w:val="24"/>
          <w:lang w:val="en-GB" w:eastAsia="id-ID"/>
        </w:rPr>
        <w:t xml:space="preserve">This finding similar </w:t>
      </w:r>
      <w:r w:rsidRPr="00E61652">
        <w:rPr>
          <w:rFonts w:ascii="Times New Roman" w:eastAsia="Times New Roman" w:hAnsi="Times New Roman" w:cs="Times New Roman"/>
          <w:sz w:val="24"/>
          <w:szCs w:val="24"/>
          <w:lang w:eastAsia="id-ID"/>
        </w:rPr>
        <w:t>with</w:t>
      </w:r>
      <w:r w:rsidRPr="00E61652">
        <w:rPr>
          <w:rFonts w:ascii="Times New Roman" w:eastAsia="Times New Roman" w:hAnsi="Times New Roman" w:cs="Times New Roman"/>
          <w:sz w:val="24"/>
          <w:szCs w:val="24"/>
          <w:lang w:val="en-US" w:eastAsia="id-ID"/>
        </w:rPr>
        <w:t xml:space="preserve"> study by</w:t>
      </w:r>
      <w:r w:rsidRPr="00E61652">
        <w:rPr>
          <w:rFonts w:ascii="Times New Roman" w:eastAsia="Times New Roman" w:hAnsi="Times New Roman" w:cs="Times New Roman"/>
          <w:sz w:val="24"/>
          <w:szCs w:val="24"/>
          <w:lang w:eastAsia="id-ID"/>
        </w:rPr>
        <w:t xml:space="preserve">Andry, </w:t>
      </w:r>
      <w:r w:rsidRPr="00E61652">
        <w:rPr>
          <w:rFonts w:ascii="Times New Roman" w:eastAsia="Times New Roman" w:hAnsi="Times New Roman" w:cs="Times New Roman"/>
          <w:sz w:val="24"/>
          <w:szCs w:val="24"/>
          <w:lang w:val="en-US" w:eastAsia="id-ID"/>
        </w:rPr>
        <w:t xml:space="preserve">et al. in 2009, </w:t>
      </w:r>
      <w:r w:rsidRPr="00E61652">
        <w:rPr>
          <w:rFonts w:ascii="Times New Roman" w:eastAsia="Times New Roman" w:hAnsi="Times New Roman" w:cs="Times New Roman"/>
          <w:sz w:val="24"/>
          <w:szCs w:val="24"/>
          <w:lang w:eastAsia="id-ID"/>
        </w:rPr>
        <w:t xml:space="preserve">there </w:t>
      </w:r>
      <w:proofErr w:type="spellStart"/>
      <w:r w:rsidRPr="00E61652">
        <w:rPr>
          <w:rFonts w:ascii="Times New Roman" w:eastAsia="Times New Roman" w:hAnsi="Times New Roman" w:cs="Times New Roman"/>
          <w:sz w:val="24"/>
          <w:szCs w:val="24"/>
          <w:lang w:val="en-US" w:eastAsia="id-ID"/>
        </w:rPr>
        <w:t>wa</w:t>
      </w:r>
      <w:proofErr w:type="spellEnd"/>
      <w:r w:rsidRPr="00E61652">
        <w:rPr>
          <w:rFonts w:ascii="Times New Roman" w:eastAsia="Times New Roman" w:hAnsi="Times New Roman" w:cs="Times New Roman"/>
          <w:sz w:val="24"/>
          <w:szCs w:val="24"/>
          <w:lang w:eastAsia="id-ID"/>
        </w:rPr>
        <w:t xml:space="preserve">s no significant relationship between </w:t>
      </w:r>
      <w:r w:rsidR="007509EE" w:rsidRPr="00E61652">
        <w:rPr>
          <w:rFonts w:ascii="Times New Roman" w:eastAsia="Times New Roman" w:hAnsi="Times New Roman" w:cs="Times New Roman"/>
          <w:sz w:val="24"/>
          <w:szCs w:val="24"/>
          <w:lang w:eastAsia="id-ID"/>
        </w:rPr>
        <w:t>ages</w:t>
      </w:r>
      <w:r w:rsidRPr="00E61652">
        <w:rPr>
          <w:rFonts w:ascii="Times New Roman" w:eastAsia="Times New Roman" w:hAnsi="Times New Roman" w:cs="Times New Roman"/>
          <w:sz w:val="24"/>
          <w:szCs w:val="24"/>
          <w:lang w:eastAsia="id-ID"/>
        </w:rPr>
        <w:t xml:space="preserve"> less than 50 years with </w:t>
      </w:r>
      <w:r w:rsidR="007509EE" w:rsidRPr="00E61652">
        <w:rPr>
          <w:rFonts w:ascii="Times New Roman" w:eastAsia="Times New Roman" w:hAnsi="Times New Roman" w:cs="Times New Roman"/>
          <w:sz w:val="24"/>
          <w:szCs w:val="24"/>
          <w:lang w:eastAsia="id-ID"/>
        </w:rPr>
        <w:t>respondent’s</w:t>
      </w:r>
      <w:r w:rsidRPr="00E61652">
        <w:rPr>
          <w:rFonts w:ascii="Times New Roman" w:eastAsia="Times New Roman" w:hAnsi="Times New Roman" w:cs="Times New Roman"/>
          <w:sz w:val="24"/>
          <w:szCs w:val="24"/>
          <w:lang w:eastAsia="id-ID"/>
        </w:rPr>
        <w:t xml:space="preserve"> ≥ 50 years with </w:t>
      </w:r>
      <w:proofErr w:type="spellStart"/>
      <w:r w:rsidRPr="00E61652">
        <w:rPr>
          <w:rFonts w:ascii="Times New Roman" w:eastAsia="Times New Roman" w:hAnsi="Times New Roman" w:cs="Times New Roman"/>
          <w:sz w:val="24"/>
          <w:szCs w:val="24"/>
          <w:lang w:val="en-GB" w:eastAsia="id-ID"/>
        </w:rPr>
        <w:t>hyperuricemia</w:t>
      </w:r>
      <w:proofErr w:type="spellEnd"/>
      <w:r w:rsidRPr="00E61652">
        <w:rPr>
          <w:rFonts w:ascii="Times New Roman" w:eastAsia="Times New Roman" w:hAnsi="Times New Roman" w:cs="Times New Roman"/>
          <w:sz w:val="24"/>
          <w:szCs w:val="24"/>
          <w:lang w:val="en-GB" w:eastAsia="id-ID"/>
        </w:rPr>
        <w:t xml:space="preserve">. </w:t>
      </w:r>
      <w:r w:rsidRPr="00E61652">
        <w:rPr>
          <w:rFonts w:ascii="Times New Roman" w:eastAsia="Times New Roman" w:hAnsi="Times New Roman" w:cs="Times New Roman"/>
          <w:sz w:val="24"/>
          <w:szCs w:val="24"/>
          <w:lang w:eastAsia="id-ID"/>
        </w:rPr>
        <w:t>It is known that the enzyme that oxidizes uric acid urikinase be alotonin throwaway decreases with increasing one's old age. If the formation of this enzyme disrupted the blood uric acid levels to be increased</w:t>
      </w:r>
      <w:r w:rsidRPr="00E61652">
        <w:rPr>
          <w:rFonts w:ascii="Times New Roman" w:eastAsia="Times New Roman" w:hAnsi="Times New Roman" w:cs="Times New Roman"/>
          <w:sz w:val="24"/>
          <w:szCs w:val="24"/>
          <w:lang w:val="en-GB" w:eastAsia="id-ID"/>
        </w:rPr>
        <w:t xml:space="preserve">. </w:t>
      </w:r>
      <w:r w:rsidR="004B702D" w:rsidRPr="00E61652">
        <w:rPr>
          <w:rFonts w:ascii="Times New Roman" w:eastAsia="Times New Roman" w:hAnsi="Times New Roman" w:cs="Times New Roman"/>
          <w:sz w:val="24"/>
          <w:szCs w:val="24"/>
          <w:vertAlign w:val="superscript"/>
          <w:lang w:val="en-GB" w:eastAsia="id-ID"/>
        </w:rPr>
        <w:t>18</w:t>
      </w:r>
      <w:proofErr w:type="gramStart"/>
      <w:r w:rsidR="004B702D" w:rsidRPr="00E61652">
        <w:rPr>
          <w:rFonts w:ascii="Times New Roman" w:eastAsia="Times New Roman" w:hAnsi="Times New Roman" w:cs="Times New Roman"/>
          <w:sz w:val="24"/>
          <w:szCs w:val="24"/>
          <w:vertAlign w:val="superscript"/>
          <w:lang w:val="en-GB" w:eastAsia="id-ID"/>
        </w:rPr>
        <w:t>,19</w:t>
      </w:r>
      <w:proofErr w:type="gramEnd"/>
    </w:p>
    <w:p w:rsidR="00C41941" w:rsidRPr="00E61652" w:rsidRDefault="00C41941" w:rsidP="00C41941">
      <w:pPr>
        <w:spacing w:line="360" w:lineRule="auto"/>
        <w:ind w:firstLine="720"/>
        <w:jc w:val="both"/>
        <w:rPr>
          <w:rFonts w:ascii="Times New Roman" w:eastAsia="Times New Roman" w:hAnsi="Times New Roman" w:cs="Times New Roman"/>
          <w:sz w:val="24"/>
          <w:szCs w:val="24"/>
          <w:lang w:val="en-GB" w:eastAsia="id-ID"/>
        </w:rPr>
      </w:pPr>
      <w:r w:rsidRPr="00E61652">
        <w:rPr>
          <w:rFonts w:ascii="Times New Roman" w:eastAsia="Times New Roman" w:hAnsi="Times New Roman" w:cs="Times New Roman"/>
          <w:sz w:val="24"/>
          <w:szCs w:val="24"/>
          <w:lang w:eastAsia="id-ID"/>
        </w:rPr>
        <w:t>Kuzuya</w:t>
      </w:r>
      <w:r w:rsidRPr="00E61652">
        <w:rPr>
          <w:rFonts w:ascii="Times New Roman" w:eastAsia="Times New Roman" w:hAnsi="Times New Roman" w:cs="Times New Roman"/>
          <w:sz w:val="24"/>
          <w:szCs w:val="24"/>
          <w:lang w:val="en-US" w:eastAsia="id-ID"/>
        </w:rPr>
        <w:t>,</w:t>
      </w:r>
      <w:r w:rsidRPr="00E61652">
        <w:rPr>
          <w:rFonts w:ascii="Times New Roman" w:eastAsia="Times New Roman" w:hAnsi="Times New Roman" w:cs="Times New Roman"/>
          <w:sz w:val="24"/>
          <w:szCs w:val="24"/>
          <w:lang w:eastAsia="id-ID"/>
        </w:rPr>
        <w:t xml:space="preserve"> et al</w:t>
      </w:r>
      <w:r w:rsidRPr="00E61652">
        <w:rPr>
          <w:rFonts w:ascii="Times New Roman" w:eastAsia="Times New Roman" w:hAnsi="Times New Roman" w:cs="Times New Roman"/>
          <w:sz w:val="24"/>
          <w:szCs w:val="24"/>
          <w:lang w:val="en-US" w:eastAsia="id-ID"/>
        </w:rPr>
        <w:t>.</w:t>
      </w:r>
      <w:r w:rsidRPr="00E61652">
        <w:rPr>
          <w:rFonts w:ascii="Times New Roman" w:eastAsia="Times New Roman" w:hAnsi="Times New Roman" w:cs="Times New Roman"/>
          <w:sz w:val="24"/>
          <w:szCs w:val="24"/>
          <w:lang w:eastAsia="id-ID"/>
        </w:rPr>
        <w:t xml:space="preserve"> on 50,000 men and 30,000 women in Japan nonhiperuricemia who received the annual examinations at the health authority from 1989 to 1998 found that after some time the serum uric acid increased in all groups, but the m</w:t>
      </w:r>
      <w:r w:rsidR="00F61FC6" w:rsidRPr="00E61652">
        <w:rPr>
          <w:rFonts w:ascii="Times New Roman" w:eastAsia="Times New Roman" w:hAnsi="Times New Roman" w:cs="Times New Roman"/>
          <w:sz w:val="24"/>
          <w:szCs w:val="24"/>
          <w:lang w:eastAsia="id-ID"/>
        </w:rPr>
        <w:t>en who were born later (younger</w:t>
      </w:r>
      <w:r w:rsidRPr="00E61652">
        <w:rPr>
          <w:rFonts w:ascii="Times New Roman" w:eastAsia="Times New Roman" w:hAnsi="Times New Roman" w:cs="Times New Roman"/>
          <w:sz w:val="24"/>
          <w:szCs w:val="24"/>
          <w:lang w:eastAsia="id-ID"/>
        </w:rPr>
        <w:t>) ha</w:t>
      </w:r>
      <w:r w:rsidRPr="00E61652">
        <w:rPr>
          <w:rFonts w:ascii="Times New Roman" w:eastAsia="Times New Roman" w:hAnsi="Times New Roman" w:cs="Times New Roman"/>
          <w:sz w:val="24"/>
          <w:szCs w:val="24"/>
          <w:lang w:val="en-US" w:eastAsia="id-ID"/>
        </w:rPr>
        <w:t>d</w:t>
      </w:r>
      <w:r w:rsidRPr="00E61652">
        <w:rPr>
          <w:rFonts w:ascii="Times New Roman" w:eastAsia="Times New Roman" w:hAnsi="Times New Roman" w:cs="Times New Roman"/>
          <w:sz w:val="24"/>
          <w:szCs w:val="24"/>
          <w:lang w:eastAsia="id-ID"/>
        </w:rPr>
        <w:t>higher levels of uric acid in men older. The study also proves that there are always people who are older tend to have high levels of uric acid are higher.</w:t>
      </w:r>
      <w:r w:rsidR="00F61FC6" w:rsidRPr="00E61652">
        <w:rPr>
          <w:rFonts w:ascii="Times New Roman" w:eastAsia="Times New Roman" w:hAnsi="Times New Roman" w:cs="Times New Roman"/>
          <w:sz w:val="24"/>
          <w:szCs w:val="24"/>
          <w:vertAlign w:val="superscript"/>
          <w:lang w:val="en-GB" w:eastAsia="id-ID"/>
        </w:rPr>
        <w:t>20</w:t>
      </w:r>
    </w:p>
    <w:p w:rsidR="00C41941" w:rsidRPr="00E61652" w:rsidRDefault="00C41941" w:rsidP="00C41941">
      <w:pPr>
        <w:spacing w:line="360" w:lineRule="auto"/>
        <w:ind w:firstLine="420"/>
        <w:jc w:val="both"/>
        <w:rPr>
          <w:rFonts w:ascii="Times New Roman" w:eastAsia="Times New Roman" w:hAnsi="Times New Roman" w:cs="Times New Roman"/>
          <w:sz w:val="24"/>
          <w:szCs w:val="24"/>
          <w:lang w:val="en-GB" w:eastAsia="id-ID"/>
        </w:rPr>
      </w:pPr>
      <w:r w:rsidRPr="00E61652">
        <w:rPr>
          <w:rFonts w:ascii="Times New Roman" w:eastAsia="Times New Roman" w:hAnsi="Times New Roman" w:cs="Times New Roman"/>
          <w:sz w:val="24"/>
          <w:szCs w:val="24"/>
          <w:lang w:eastAsia="id-ID"/>
        </w:rPr>
        <w:t xml:space="preserve">The results showed that gender has a significant relationship to the occurrence of </w:t>
      </w:r>
      <w:proofErr w:type="spellStart"/>
      <w:r w:rsidRPr="00E61652">
        <w:rPr>
          <w:rFonts w:ascii="Times New Roman" w:eastAsia="Times New Roman" w:hAnsi="Times New Roman" w:cs="Times New Roman"/>
          <w:sz w:val="24"/>
          <w:szCs w:val="24"/>
          <w:lang w:val="en-GB" w:eastAsia="id-ID"/>
        </w:rPr>
        <w:t>hyperuricemia</w:t>
      </w:r>
      <w:proofErr w:type="spellEnd"/>
      <w:r w:rsidRPr="00E61652">
        <w:rPr>
          <w:rFonts w:ascii="Times New Roman" w:eastAsia="Times New Roman" w:hAnsi="Times New Roman" w:cs="Times New Roman"/>
          <w:sz w:val="24"/>
          <w:szCs w:val="24"/>
          <w:lang w:eastAsia="id-ID"/>
        </w:rPr>
        <w:t xml:space="preserve">, it is due to the influence of hormones in this the female </w:t>
      </w:r>
      <w:r w:rsidRPr="00E61652">
        <w:rPr>
          <w:rFonts w:ascii="Times New Roman" w:eastAsia="Times New Roman" w:hAnsi="Times New Roman" w:cs="Times New Roman"/>
          <w:sz w:val="24"/>
          <w:szCs w:val="24"/>
          <w:lang w:val="en-GB" w:eastAsia="id-ID"/>
        </w:rPr>
        <w:t xml:space="preserve">which called </w:t>
      </w:r>
      <w:r w:rsidRPr="00E61652">
        <w:rPr>
          <w:rFonts w:ascii="Times New Roman" w:eastAsia="Times New Roman" w:hAnsi="Times New Roman" w:cs="Times New Roman"/>
          <w:sz w:val="24"/>
          <w:szCs w:val="24"/>
          <w:lang w:eastAsia="id-ID"/>
        </w:rPr>
        <w:t xml:space="preserve">estrogen. Uric acid levels begin to rise during puberty in men but women remain low until menopause due to the effects of estrogen urikosurik. In the human body there are </w:t>
      </w:r>
      <w:r w:rsidRPr="00E61652">
        <w:rPr>
          <w:rFonts w:ascii="Times New Roman" w:eastAsia="Times New Roman" w:hAnsi="Times New Roman" w:cs="Times New Roman"/>
          <w:sz w:val="24"/>
          <w:szCs w:val="24"/>
          <w:lang w:eastAsia="id-ID"/>
        </w:rPr>
        <w:lastRenderedPageBreak/>
        <w:t>enzyme urate oxidase or urikase that will oxidize uric acid into allantoin. Urikase deficiency in humans will lead to high levels of uric acid in serum. </w:t>
      </w:r>
      <w:r w:rsidR="00F61FC6" w:rsidRPr="00E61652">
        <w:rPr>
          <w:rFonts w:ascii="Times New Roman" w:eastAsia="Times New Roman" w:hAnsi="Times New Roman" w:cs="Times New Roman"/>
          <w:sz w:val="24"/>
          <w:szCs w:val="24"/>
          <w:vertAlign w:val="superscript"/>
          <w:lang w:val="en-GB" w:eastAsia="id-ID"/>
        </w:rPr>
        <w:t>21</w:t>
      </w:r>
    </w:p>
    <w:p w:rsidR="00C41941" w:rsidRPr="00E61652" w:rsidRDefault="00C41941" w:rsidP="00C41941">
      <w:pPr>
        <w:spacing w:line="360" w:lineRule="auto"/>
        <w:ind w:firstLine="420"/>
        <w:jc w:val="both"/>
        <w:rPr>
          <w:rFonts w:ascii="Times New Roman" w:eastAsia="Times New Roman" w:hAnsi="Times New Roman" w:cs="Times New Roman"/>
          <w:sz w:val="24"/>
          <w:szCs w:val="24"/>
          <w:lang w:val="en-GB" w:eastAsia="id-ID"/>
        </w:rPr>
      </w:pPr>
      <w:r w:rsidRPr="00E61652">
        <w:rPr>
          <w:rFonts w:ascii="Times New Roman" w:eastAsia="Times New Roman" w:hAnsi="Times New Roman" w:cs="Times New Roman"/>
          <w:sz w:val="24"/>
          <w:szCs w:val="24"/>
          <w:lang w:eastAsia="id-ID"/>
        </w:rPr>
        <w:t xml:space="preserve"> The results of the analysis </w:t>
      </w:r>
      <w:r w:rsidRPr="00E61652">
        <w:rPr>
          <w:rFonts w:ascii="Times New Roman" w:eastAsia="Times New Roman" w:hAnsi="Times New Roman" w:cs="Times New Roman"/>
          <w:sz w:val="24"/>
          <w:szCs w:val="24"/>
          <w:lang w:val="en-GB" w:eastAsia="id-ID"/>
        </w:rPr>
        <w:t xml:space="preserve">between level of </w:t>
      </w:r>
      <w:r w:rsidRPr="00E61652">
        <w:rPr>
          <w:rFonts w:ascii="Times New Roman" w:eastAsia="Times New Roman" w:hAnsi="Times New Roman" w:cs="Times New Roman"/>
          <w:sz w:val="24"/>
          <w:szCs w:val="24"/>
          <w:lang w:eastAsia="id-ID"/>
        </w:rPr>
        <w:t xml:space="preserve">education </w:t>
      </w:r>
      <w:r w:rsidRPr="00E61652">
        <w:rPr>
          <w:rFonts w:ascii="Times New Roman" w:eastAsia="Times New Roman" w:hAnsi="Times New Roman" w:cs="Times New Roman"/>
          <w:sz w:val="24"/>
          <w:szCs w:val="24"/>
          <w:lang w:val="en-GB" w:eastAsia="id-ID"/>
        </w:rPr>
        <w:t xml:space="preserve">and </w:t>
      </w:r>
      <w:proofErr w:type="spellStart"/>
      <w:r w:rsidRPr="00E61652">
        <w:rPr>
          <w:rFonts w:ascii="Times New Roman" w:eastAsia="Times New Roman" w:hAnsi="Times New Roman" w:cs="Times New Roman"/>
          <w:sz w:val="24"/>
          <w:szCs w:val="24"/>
          <w:lang w:val="en-GB" w:eastAsia="id-ID"/>
        </w:rPr>
        <w:t>hyperuricemia</w:t>
      </w:r>
      <w:proofErr w:type="spellEnd"/>
      <w:r w:rsidRPr="00E61652">
        <w:rPr>
          <w:rFonts w:ascii="Times New Roman" w:eastAsia="Times New Roman" w:hAnsi="Times New Roman" w:cs="Times New Roman"/>
          <w:sz w:val="24"/>
          <w:szCs w:val="24"/>
          <w:lang w:eastAsia="id-ID"/>
        </w:rPr>
        <w:t> </w:t>
      </w:r>
      <w:r w:rsidRPr="00E61652">
        <w:rPr>
          <w:rFonts w:ascii="Times New Roman" w:eastAsia="Times New Roman" w:hAnsi="Times New Roman" w:cs="Times New Roman"/>
          <w:sz w:val="24"/>
          <w:szCs w:val="24"/>
          <w:lang w:val="en-GB" w:eastAsia="id-ID"/>
        </w:rPr>
        <w:t xml:space="preserve">revealed </w:t>
      </w:r>
      <w:r w:rsidRPr="00E61652">
        <w:rPr>
          <w:rFonts w:ascii="Times New Roman" w:eastAsia="Times New Roman" w:hAnsi="Times New Roman" w:cs="Times New Roman"/>
          <w:sz w:val="24"/>
          <w:szCs w:val="24"/>
          <w:lang w:eastAsia="id-ID"/>
        </w:rPr>
        <w:t xml:space="preserve">that there is no significant relationship between the </w:t>
      </w:r>
      <w:r w:rsidRPr="00E61652">
        <w:rPr>
          <w:rFonts w:ascii="Times New Roman" w:eastAsia="Times New Roman" w:hAnsi="Times New Roman" w:cs="Times New Roman"/>
          <w:sz w:val="24"/>
          <w:szCs w:val="24"/>
          <w:lang w:val="en-GB" w:eastAsia="id-ID"/>
        </w:rPr>
        <w:t xml:space="preserve">level of education and </w:t>
      </w:r>
      <w:proofErr w:type="spellStart"/>
      <w:r w:rsidRPr="00E61652">
        <w:rPr>
          <w:rFonts w:ascii="Times New Roman" w:eastAsia="Times New Roman" w:hAnsi="Times New Roman" w:cs="Times New Roman"/>
          <w:sz w:val="24"/>
          <w:szCs w:val="24"/>
          <w:lang w:val="en-GB" w:eastAsia="id-ID"/>
        </w:rPr>
        <w:t>hyperuricemia</w:t>
      </w:r>
      <w:proofErr w:type="spellEnd"/>
      <w:r w:rsidRPr="00E61652">
        <w:rPr>
          <w:rFonts w:ascii="Times New Roman" w:eastAsia="Times New Roman" w:hAnsi="Times New Roman" w:cs="Times New Roman"/>
          <w:sz w:val="24"/>
          <w:szCs w:val="24"/>
          <w:lang w:val="en-GB" w:eastAsia="id-ID"/>
        </w:rPr>
        <w:t xml:space="preserve">. </w:t>
      </w:r>
    </w:p>
    <w:p w:rsidR="00C41941" w:rsidRPr="00E61652" w:rsidRDefault="00C41941" w:rsidP="00C41941">
      <w:pPr>
        <w:spacing w:line="360" w:lineRule="auto"/>
        <w:ind w:firstLine="420"/>
        <w:jc w:val="both"/>
        <w:rPr>
          <w:rFonts w:ascii="Times New Roman" w:eastAsia="Times New Roman" w:hAnsi="Times New Roman" w:cs="Times New Roman"/>
          <w:sz w:val="24"/>
          <w:szCs w:val="24"/>
          <w:lang w:val="en-GB" w:eastAsia="id-ID"/>
        </w:rPr>
      </w:pPr>
      <w:r w:rsidRPr="00E61652">
        <w:rPr>
          <w:rFonts w:ascii="Times New Roman" w:eastAsia="Times New Roman" w:hAnsi="Times New Roman" w:cs="Times New Roman"/>
          <w:sz w:val="24"/>
          <w:szCs w:val="24"/>
          <w:lang w:eastAsia="id-ID"/>
        </w:rPr>
        <w:t xml:space="preserve">The results of the analysis of the </w:t>
      </w:r>
      <w:r w:rsidRPr="00E61652">
        <w:rPr>
          <w:rFonts w:ascii="Times New Roman" w:eastAsia="Times New Roman" w:hAnsi="Times New Roman" w:cs="Times New Roman"/>
          <w:sz w:val="24"/>
          <w:szCs w:val="24"/>
          <w:lang w:val="en-GB" w:eastAsia="id-ID"/>
        </w:rPr>
        <w:t>working status with</w:t>
      </w:r>
      <w:r w:rsidRPr="00E61652">
        <w:rPr>
          <w:rFonts w:ascii="Times New Roman" w:eastAsia="Times New Roman" w:hAnsi="Times New Roman" w:cs="Times New Roman"/>
          <w:sz w:val="24"/>
          <w:szCs w:val="24"/>
          <w:lang w:eastAsia="id-ID"/>
        </w:rPr>
        <w:t xml:space="preserve"> the incidence of </w:t>
      </w:r>
      <w:proofErr w:type="spellStart"/>
      <w:r w:rsidRPr="00E61652">
        <w:rPr>
          <w:rFonts w:ascii="Times New Roman" w:eastAsia="Times New Roman" w:hAnsi="Times New Roman" w:cs="Times New Roman"/>
          <w:sz w:val="24"/>
          <w:szCs w:val="24"/>
          <w:lang w:val="en-GB" w:eastAsia="id-ID"/>
        </w:rPr>
        <w:t>hyperuricemia</w:t>
      </w:r>
      <w:proofErr w:type="spellEnd"/>
      <w:r w:rsidRPr="00E61652">
        <w:rPr>
          <w:rFonts w:ascii="Times New Roman" w:eastAsia="Times New Roman" w:hAnsi="Times New Roman" w:cs="Times New Roman"/>
          <w:sz w:val="24"/>
          <w:szCs w:val="24"/>
          <w:lang w:eastAsia="id-ID"/>
        </w:rPr>
        <w:t xml:space="preserve"> can be concluded that there is a significant relationship between </w:t>
      </w:r>
      <w:r w:rsidRPr="00E61652">
        <w:rPr>
          <w:rFonts w:ascii="Times New Roman" w:eastAsia="Times New Roman" w:hAnsi="Times New Roman" w:cs="Times New Roman"/>
          <w:sz w:val="24"/>
          <w:szCs w:val="24"/>
          <w:lang w:val="en-GB" w:eastAsia="id-ID"/>
        </w:rPr>
        <w:t xml:space="preserve">working status </w:t>
      </w:r>
      <w:proofErr w:type="spellStart"/>
      <w:r w:rsidRPr="00E61652">
        <w:rPr>
          <w:rFonts w:ascii="Times New Roman" w:eastAsia="Times New Roman" w:hAnsi="Times New Roman" w:cs="Times New Roman"/>
          <w:sz w:val="24"/>
          <w:szCs w:val="24"/>
          <w:lang w:val="en-GB" w:eastAsia="id-ID"/>
        </w:rPr>
        <w:t>withhyperuricemia</w:t>
      </w:r>
      <w:proofErr w:type="spellEnd"/>
      <w:r w:rsidRPr="00E61652">
        <w:rPr>
          <w:rFonts w:ascii="Times New Roman" w:eastAsia="Times New Roman" w:hAnsi="Times New Roman" w:cs="Times New Roman"/>
          <w:sz w:val="24"/>
          <w:szCs w:val="24"/>
          <w:lang w:val="en-GB" w:eastAsia="id-ID"/>
        </w:rPr>
        <w:t xml:space="preserve">. This finding similar with the </w:t>
      </w:r>
      <w:r w:rsidR="00086AB9" w:rsidRPr="00E61652">
        <w:rPr>
          <w:rFonts w:ascii="Times New Roman" w:eastAsia="Times New Roman" w:hAnsi="Times New Roman" w:cs="Times New Roman"/>
          <w:sz w:val="24"/>
          <w:szCs w:val="24"/>
          <w:lang w:eastAsia="id-ID"/>
        </w:rPr>
        <w:t>research conducted by Andry</w:t>
      </w:r>
      <w:r w:rsidR="00086AB9" w:rsidRPr="00E61652">
        <w:rPr>
          <w:rFonts w:ascii="Times New Roman" w:eastAsia="Times New Roman" w:hAnsi="Times New Roman" w:cs="Times New Roman"/>
          <w:sz w:val="24"/>
          <w:szCs w:val="24"/>
          <w:lang w:val="en-GB" w:eastAsia="id-ID"/>
        </w:rPr>
        <w:t xml:space="preserve"> et al (2009)</w:t>
      </w:r>
      <w:r w:rsidRPr="00E61652">
        <w:rPr>
          <w:rFonts w:ascii="Times New Roman" w:eastAsia="Times New Roman" w:hAnsi="Times New Roman" w:cs="Times New Roman"/>
          <w:sz w:val="24"/>
          <w:szCs w:val="24"/>
          <w:lang w:eastAsia="id-ID"/>
        </w:rPr>
        <w:t xml:space="preserve"> that many office workers suffering from hyperuricemia which amounted to 60%. Krisnatuti et al (1997) said that one of the causes that affect uric acid levels is a sport or physical activity.</w:t>
      </w:r>
      <w:r w:rsidR="004B702D" w:rsidRPr="00E61652">
        <w:rPr>
          <w:rFonts w:ascii="Times New Roman" w:eastAsia="Times New Roman" w:hAnsi="Times New Roman" w:cs="Times New Roman"/>
          <w:sz w:val="24"/>
          <w:szCs w:val="24"/>
          <w:vertAlign w:val="superscript"/>
          <w:lang w:val="en-GB" w:eastAsia="id-ID"/>
        </w:rPr>
        <w:t>19</w:t>
      </w:r>
      <w:r w:rsidR="00F61FC6" w:rsidRPr="00E61652">
        <w:rPr>
          <w:rFonts w:ascii="Times New Roman" w:eastAsia="Times New Roman" w:hAnsi="Times New Roman" w:cs="Times New Roman"/>
          <w:sz w:val="24"/>
          <w:szCs w:val="24"/>
          <w:vertAlign w:val="superscript"/>
          <w:lang w:val="en-GB" w:eastAsia="id-ID"/>
        </w:rPr>
        <w:t>,21</w:t>
      </w:r>
    </w:p>
    <w:p w:rsidR="00C41941" w:rsidRPr="00E61652" w:rsidRDefault="00C41941" w:rsidP="00C41941">
      <w:pPr>
        <w:spacing w:line="360" w:lineRule="auto"/>
        <w:ind w:firstLine="420"/>
        <w:jc w:val="both"/>
        <w:rPr>
          <w:rFonts w:ascii="Times New Roman" w:eastAsia="Times New Roman" w:hAnsi="Times New Roman" w:cs="Times New Roman"/>
          <w:sz w:val="24"/>
          <w:szCs w:val="24"/>
          <w:vertAlign w:val="superscript"/>
          <w:lang w:val="en-GB" w:eastAsia="id-ID"/>
        </w:rPr>
      </w:pPr>
      <w:r w:rsidRPr="00E61652">
        <w:rPr>
          <w:rFonts w:ascii="Times New Roman" w:eastAsia="Times New Roman" w:hAnsi="Times New Roman" w:cs="Times New Roman"/>
          <w:sz w:val="24"/>
          <w:szCs w:val="24"/>
          <w:lang w:eastAsia="id-ID"/>
        </w:rPr>
        <w:t xml:space="preserve">The results </w:t>
      </w:r>
      <w:proofErr w:type="spellStart"/>
      <w:r w:rsidRPr="00E61652">
        <w:rPr>
          <w:rFonts w:ascii="Times New Roman" w:eastAsia="Times New Roman" w:hAnsi="Times New Roman" w:cs="Times New Roman"/>
          <w:sz w:val="24"/>
          <w:szCs w:val="24"/>
          <w:lang w:val="en-US" w:eastAsia="id-ID"/>
        </w:rPr>
        <w:t>purine</w:t>
      </w:r>
      <w:proofErr w:type="spellEnd"/>
      <w:r w:rsidRPr="00E61652">
        <w:rPr>
          <w:rFonts w:ascii="Times New Roman" w:eastAsia="Times New Roman" w:hAnsi="Times New Roman" w:cs="Times New Roman"/>
          <w:sz w:val="24"/>
          <w:szCs w:val="24"/>
          <w:lang w:val="en-US" w:eastAsia="id-ID"/>
        </w:rPr>
        <w:t xml:space="preserve"> intake </w:t>
      </w:r>
      <w:r w:rsidRPr="00E61652">
        <w:rPr>
          <w:rFonts w:ascii="Times New Roman" w:eastAsia="Times New Roman" w:hAnsi="Times New Roman" w:cs="Times New Roman"/>
          <w:sz w:val="24"/>
          <w:szCs w:val="24"/>
          <w:lang w:eastAsia="id-ID"/>
        </w:rPr>
        <w:t xml:space="preserve">history can be concluded that the respondents consume as much as 24.4% purine suffering from </w:t>
      </w:r>
      <w:proofErr w:type="spellStart"/>
      <w:r w:rsidRPr="00E61652">
        <w:rPr>
          <w:rFonts w:ascii="Times New Roman" w:eastAsia="Times New Roman" w:hAnsi="Times New Roman" w:cs="Times New Roman"/>
          <w:sz w:val="24"/>
          <w:szCs w:val="24"/>
          <w:lang w:val="en-GB" w:eastAsia="id-ID"/>
        </w:rPr>
        <w:t>hyperuricemia</w:t>
      </w:r>
      <w:proofErr w:type="spellEnd"/>
      <w:r w:rsidRPr="00E61652">
        <w:rPr>
          <w:rFonts w:ascii="Times New Roman" w:eastAsia="Times New Roman" w:hAnsi="Times New Roman" w:cs="Times New Roman"/>
          <w:sz w:val="24"/>
          <w:szCs w:val="24"/>
          <w:lang w:eastAsia="id-ID"/>
        </w:rPr>
        <w:t xml:space="preserve"> compared with those who did not consume </w:t>
      </w:r>
      <w:proofErr w:type="spellStart"/>
      <w:r w:rsidRPr="00E61652">
        <w:rPr>
          <w:rFonts w:ascii="Times New Roman" w:eastAsia="Times New Roman" w:hAnsi="Times New Roman" w:cs="Times New Roman"/>
          <w:sz w:val="24"/>
          <w:szCs w:val="24"/>
          <w:lang w:val="en-GB" w:eastAsia="id-ID"/>
        </w:rPr>
        <w:t>purin</w:t>
      </w:r>
      <w:proofErr w:type="spellEnd"/>
      <w:r w:rsidRPr="00E61652">
        <w:rPr>
          <w:rFonts w:ascii="Times New Roman" w:eastAsia="Times New Roman" w:hAnsi="Times New Roman" w:cs="Times New Roman"/>
          <w:sz w:val="24"/>
          <w:szCs w:val="24"/>
          <w:lang w:eastAsia="id-ID"/>
        </w:rPr>
        <w:t xml:space="preserve"> (8.7%).From the </w:t>
      </w:r>
      <w:r w:rsidR="008A2B3A" w:rsidRPr="00E61652">
        <w:rPr>
          <w:rFonts w:ascii="Times New Roman" w:eastAsia="Times New Roman" w:hAnsi="Times New Roman" w:cs="Times New Roman"/>
          <w:sz w:val="24"/>
          <w:szCs w:val="24"/>
          <w:lang w:val="en-GB" w:eastAsia="id-ID"/>
        </w:rPr>
        <w:t>chi square</w:t>
      </w:r>
      <w:r w:rsidRPr="00E61652">
        <w:rPr>
          <w:rFonts w:ascii="Times New Roman" w:eastAsia="Times New Roman" w:hAnsi="Times New Roman" w:cs="Times New Roman"/>
          <w:sz w:val="24"/>
          <w:szCs w:val="24"/>
          <w:lang w:eastAsia="id-ID"/>
        </w:rPr>
        <w:t xml:space="preserve"> test  there is </w:t>
      </w:r>
      <w:r w:rsidR="008A2B3A" w:rsidRPr="00E61652">
        <w:rPr>
          <w:rFonts w:ascii="Times New Roman" w:eastAsia="Times New Roman" w:hAnsi="Times New Roman" w:cs="Times New Roman"/>
          <w:sz w:val="24"/>
          <w:szCs w:val="24"/>
          <w:lang w:val="en-GB" w:eastAsia="id-ID"/>
        </w:rPr>
        <w:t xml:space="preserve">no </w:t>
      </w:r>
      <w:r w:rsidRPr="00E61652">
        <w:rPr>
          <w:rFonts w:ascii="Times New Roman" w:eastAsia="Times New Roman" w:hAnsi="Times New Roman" w:cs="Times New Roman"/>
          <w:sz w:val="24"/>
          <w:szCs w:val="24"/>
          <w:lang w:eastAsia="id-ID"/>
        </w:rPr>
        <w:t xml:space="preserve">significant relationship between a history of consumption of purine </w:t>
      </w:r>
      <w:r w:rsidRPr="00E61652">
        <w:rPr>
          <w:rFonts w:ascii="Times New Roman" w:eastAsia="Times New Roman" w:hAnsi="Times New Roman" w:cs="Times New Roman"/>
          <w:sz w:val="24"/>
          <w:szCs w:val="24"/>
          <w:lang w:val="en-GB" w:eastAsia="id-ID"/>
        </w:rPr>
        <w:t xml:space="preserve">with </w:t>
      </w:r>
      <w:proofErr w:type="spellStart"/>
      <w:r w:rsidRPr="00E61652">
        <w:rPr>
          <w:rFonts w:ascii="Times New Roman" w:eastAsia="Times New Roman" w:hAnsi="Times New Roman" w:cs="Times New Roman"/>
          <w:sz w:val="24"/>
          <w:szCs w:val="24"/>
          <w:lang w:val="en-GB" w:eastAsia="id-ID"/>
        </w:rPr>
        <w:t>hyperuricemia</w:t>
      </w:r>
      <w:proofErr w:type="spellEnd"/>
      <w:r w:rsidRPr="00E61652">
        <w:rPr>
          <w:rFonts w:ascii="Times New Roman" w:eastAsia="Times New Roman" w:hAnsi="Times New Roman" w:cs="Times New Roman"/>
          <w:sz w:val="24"/>
          <w:szCs w:val="24"/>
          <w:lang w:eastAsia="id-ID"/>
        </w:rPr>
        <w:t>. </w:t>
      </w:r>
      <w:r w:rsidR="008A2B3A" w:rsidRPr="00E61652">
        <w:rPr>
          <w:rFonts w:ascii="Times New Roman" w:eastAsia="Times New Roman" w:hAnsi="Times New Roman" w:cs="Times New Roman"/>
          <w:sz w:val="24"/>
          <w:szCs w:val="24"/>
          <w:lang w:val="en-GB" w:eastAsia="id-ID"/>
        </w:rPr>
        <w:t>This finding similar with study</w:t>
      </w:r>
      <w:r w:rsidRPr="00E61652">
        <w:rPr>
          <w:rFonts w:ascii="Times New Roman" w:eastAsia="Times New Roman" w:hAnsi="Times New Roman" w:cs="Times New Roman"/>
          <w:sz w:val="24"/>
          <w:szCs w:val="24"/>
          <w:lang w:eastAsia="id-ID"/>
        </w:rPr>
        <w:t xml:space="preserve"> conducted by Andry,</w:t>
      </w:r>
      <w:r w:rsidR="00163329" w:rsidRPr="00E61652">
        <w:rPr>
          <w:rFonts w:ascii="Times New Roman" w:eastAsia="Times New Roman" w:hAnsi="Times New Roman" w:cs="Times New Roman"/>
          <w:sz w:val="24"/>
          <w:szCs w:val="24"/>
          <w:lang w:val="en-GB" w:eastAsia="id-ID"/>
        </w:rPr>
        <w:t xml:space="preserve"> et al (2009) </w:t>
      </w:r>
      <w:r w:rsidRPr="00E61652">
        <w:rPr>
          <w:rFonts w:ascii="Times New Roman" w:eastAsia="Times New Roman" w:hAnsi="Times New Roman" w:cs="Times New Roman"/>
          <w:sz w:val="24"/>
          <w:szCs w:val="24"/>
          <w:lang w:eastAsia="id-ID"/>
        </w:rPr>
        <w:t>showed from 30 people who have uric acid levels above normal, 27 (90%) consume foods high in purines. While the results of bivariate analysis using chi square test P = 0.071 obtained. This shows that consumption did not significantly influence the levels of uric acid in the office workers in the village of Karang Turi Brebes Brits districts.</w:t>
      </w:r>
      <w:r w:rsidR="004B702D" w:rsidRPr="00E61652">
        <w:rPr>
          <w:rFonts w:ascii="Times New Roman" w:eastAsia="Times New Roman" w:hAnsi="Times New Roman" w:cs="Times New Roman"/>
          <w:sz w:val="24"/>
          <w:szCs w:val="24"/>
          <w:vertAlign w:val="superscript"/>
          <w:lang w:val="en-GB" w:eastAsia="id-ID"/>
        </w:rPr>
        <w:t>19</w:t>
      </w:r>
    </w:p>
    <w:p w:rsidR="00C41941" w:rsidRPr="00E61652" w:rsidRDefault="008A2B3A" w:rsidP="000F04F9">
      <w:pPr>
        <w:autoSpaceDE w:val="0"/>
        <w:autoSpaceDN w:val="0"/>
        <w:adjustRightInd w:val="0"/>
        <w:spacing w:line="360" w:lineRule="auto"/>
        <w:ind w:firstLine="420"/>
        <w:jc w:val="both"/>
        <w:rPr>
          <w:rFonts w:ascii="Times New Roman" w:eastAsia="Times New Roman" w:hAnsi="Times New Roman" w:cs="Times New Roman"/>
          <w:sz w:val="24"/>
          <w:szCs w:val="24"/>
          <w:vertAlign w:val="superscript"/>
          <w:lang w:val="en-GB" w:eastAsia="id-ID"/>
        </w:rPr>
      </w:pPr>
      <w:r w:rsidRPr="00E61652">
        <w:rPr>
          <w:rFonts w:ascii="Times New Roman" w:eastAsia="Times New Roman" w:hAnsi="Times New Roman" w:cs="Times New Roman"/>
          <w:sz w:val="24"/>
          <w:szCs w:val="24"/>
          <w:lang w:eastAsia="id-ID"/>
        </w:rPr>
        <w:t>However</w:t>
      </w:r>
      <w:r w:rsidRPr="00E61652">
        <w:rPr>
          <w:rFonts w:ascii="Times New Roman" w:eastAsia="Times New Roman" w:hAnsi="Times New Roman" w:cs="Times New Roman"/>
          <w:sz w:val="24"/>
          <w:szCs w:val="24"/>
          <w:lang w:val="en-GB" w:eastAsia="id-ID"/>
        </w:rPr>
        <w:t xml:space="preserve"> in the multivariate analysis, </w:t>
      </w:r>
      <w:r w:rsidR="001610E0" w:rsidRPr="00E61652">
        <w:rPr>
          <w:rFonts w:ascii="Times New Roman" w:hAnsi="Times New Roman" w:cs="Times New Roman"/>
          <w:iCs/>
          <w:sz w:val="24"/>
          <w:szCs w:val="24"/>
        </w:rPr>
        <w:t xml:space="preserve">the association </w:t>
      </w:r>
      <w:r w:rsidR="001610E0" w:rsidRPr="00E61652">
        <w:rPr>
          <w:rFonts w:ascii="Times New Roman" w:hAnsi="Times New Roman" w:cs="Times New Roman"/>
          <w:iCs/>
          <w:sz w:val="24"/>
          <w:szCs w:val="24"/>
          <w:lang w:val="en-US"/>
        </w:rPr>
        <w:t xml:space="preserve">was </w:t>
      </w:r>
      <w:r w:rsidR="001610E0" w:rsidRPr="00E61652">
        <w:rPr>
          <w:rFonts w:ascii="Times New Roman" w:hAnsi="Times New Roman" w:cs="Times New Roman"/>
          <w:iCs/>
          <w:sz w:val="24"/>
          <w:szCs w:val="24"/>
        </w:rPr>
        <w:t xml:space="preserve">remained significant with gender, </w:t>
      </w:r>
      <w:r w:rsidR="001610E0" w:rsidRPr="00E61652">
        <w:rPr>
          <w:rFonts w:ascii="Times New Roman" w:hAnsi="Times New Roman" w:cs="Times New Roman"/>
          <w:iCs/>
          <w:sz w:val="24"/>
          <w:szCs w:val="24"/>
          <w:lang w:val="en-GB"/>
        </w:rPr>
        <w:t xml:space="preserve">age, work status </w:t>
      </w:r>
      <w:r w:rsidR="001610E0" w:rsidRPr="00E61652">
        <w:rPr>
          <w:rFonts w:ascii="Times New Roman" w:hAnsi="Times New Roman" w:cs="Times New Roman"/>
          <w:iCs/>
          <w:sz w:val="24"/>
          <w:szCs w:val="24"/>
        </w:rPr>
        <w:t xml:space="preserve">and </w:t>
      </w:r>
      <w:r w:rsidR="001610E0" w:rsidRPr="00E61652">
        <w:rPr>
          <w:rFonts w:ascii="Times New Roman" w:hAnsi="Times New Roman" w:cs="Times New Roman"/>
          <w:iCs/>
          <w:sz w:val="24"/>
          <w:szCs w:val="24"/>
          <w:lang w:val="en-GB"/>
        </w:rPr>
        <w:t xml:space="preserve">history of </w:t>
      </w:r>
      <w:proofErr w:type="spellStart"/>
      <w:r w:rsidR="001610E0" w:rsidRPr="00E61652">
        <w:rPr>
          <w:rFonts w:ascii="Times New Roman" w:hAnsi="Times New Roman" w:cs="Times New Roman"/>
          <w:iCs/>
          <w:sz w:val="24"/>
          <w:szCs w:val="24"/>
          <w:lang w:val="en-GB"/>
        </w:rPr>
        <w:t>purine</w:t>
      </w:r>
      <w:proofErr w:type="spellEnd"/>
      <w:r w:rsidR="001610E0" w:rsidRPr="00E61652">
        <w:rPr>
          <w:rFonts w:ascii="Times New Roman" w:hAnsi="Times New Roman" w:cs="Times New Roman"/>
          <w:iCs/>
          <w:sz w:val="24"/>
          <w:szCs w:val="24"/>
          <w:lang w:val="en-GB"/>
        </w:rPr>
        <w:t xml:space="preserve"> consumption</w:t>
      </w:r>
      <w:r w:rsidR="001610E0" w:rsidRPr="00E61652">
        <w:rPr>
          <w:rFonts w:ascii="Times New Roman" w:hAnsi="Times New Roman" w:cs="Times New Roman"/>
          <w:iCs/>
          <w:sz w:val="24"/>
          <w:szCs w:val="24"/>
        </w:rPr>
        <w:t xml:space="preserve">. </w:t>
      </w:r>
      <w:r w:rsidR="00C41941" w:rsidRPr="00E61652">
        <w:rPr>
          <w:rFonts w:ascii="Times New Roman" w:eastAsia="Times New Roman" w:hAnsi="Times New Roman" w:cs="Times New Roman"/>
          <w:sz w:val="24"/>
          <w:szCs w:val="24"/>
          <w:lang w:eastAsia="id-ID"/>
        </w:rPr>
        <w:t>R</w:t>
      </w:r>
      <w:r w:rsidR="009B5567" w:rsidRPr="00E61652">
        <w:rPr>
          <w:rFonts w:ascii="Times New Roman" w:eastAsia="Times New Roman" w:hAnsi="Times New Roman" w:cs="Times New Roman"/>
          <w:sz w:val="24"/>
          <w:szCs w:val="24"/>
          <w:lang w:eastAsia="id-ID"/>
        </w:rPr>
        <w:t>esearch conducted by Choi et a</w:t>
      </w:r>
      <w:r w:rsidR="009B5567" w:rsidRPr="00E61652">
        <w:rPr>
          <w:rFonts w:ascii="Times New Roman" w:eastAsia="Times New Roman" w:hAnsi="Times New Roman" w:cs="Times New Roman"/>
          <w:sz w:val="24"/>
          <w:szCs w:val="24"/>
          <w:lang w:val="en-GB" w:eastAsia="id-ID"/>
        </w:rPr>
        <w:t>l</w:t>
      </w:r>
      <w:r w:rsidR="00C41941" w:rsidRPr="00E61652">
        <w:rPr>
          <w:rFonts w:ascii="Times New Roman" w:eastAsia="Times New Roman" w:hAnsi="Times New Roman" w:cs="Times New Roman"/>
          <w:sz w:val="24"/>
          <w:szCs w:val="24"/>
          <w:lang w:eastAsia="id-ID"/>
        </w:rPr>
        <w:t xml:space="preserve"> (1998) found that consumption of purines contained in meat and seafood related to the risk of elevated uric acid levels, then dairy products may lower risk of gout and purine consumption of plant origin does not affect the risk of gout.In general, respondents in the study consume all the foods that contain high levels of purines either of animal origin, including meat and milk are also from plants. According Sustrani et al (2004) </w:t>
      </w:r>
      <w:r w:rsidR="00C41941" w:rsidRPr="00E61652">
        <w:rPr>
          <w:rFonts w:ascii="Times New Roman" w:eastAsia="Times New Roman" w:hAnsi="Times New Roman" w:cs="Times New Roman"/>
          <w:sz w:val="24"/>
          <w:szCs w:val="24"/>
          <w:lang w:val="en-GB" w:eastAsia="id-ID"/>
        </w:rPr>
        <w:t>t</w:t>
      </w:r>
      <w:r w:rsidR="00C41941" w:rsidRPr="00E61652">
        <w:rPr>
          <w:rFonts w:ascii="Times New Roman" w:eastAsia="Times New Roman" w:hAnsi="Times New Roman" w:cs="Times New Roman"/>
          <w:sz w:val="24"/>
          <w:szCs w:val="24"/>
          <w:lang w:eastAsia="id-ID"/>
        </w:rPr>
        <w:t>he consumption of complex carbohydrates such as rice, bread, sweet potato and cassava can spur disposal of excess uric acid in the blood. </w:t>
      </w:r>
      <w:r w:rsidR="004B702D" w:rsidRPr="00E61652">
        <w:rPr>
          <w:rFonts w:ascii="Times New Roman" w:eastAsia="Times New Roman" w:hAnsi="Times New Roman" w:cs="Times New Roman"/>
          <w:sz w:val="24"/>
          <w:szCs w:val="24"/>
          <w:vertAlign w:val="superscript"/>
          <w:lang w:val="en-GB" w:eastAsia="id-ID"/>
        </w:rPr>
        <w:t>18</w:t>
      </w:r>
    </w:p>
    <w:p w:rsidR="009B5567" w:rsidRPr="00E61652" w:rsidRDefault="009B5567" w:rsidP="009B5567">
      <w:pPr>
        <w:autoSpaceDE w:val="0"/>
        <w:autoSpaceDN w:val="0"/>
        <w:adjustRightInd w:val="0"/>
        <w:spacing w:line="360" w:lineRule="auto"/>
        <w:ind w:firstLine="420"/>
        <w:jc w:val="both"/>
        <w:rPr>
          <w:rStyle w:val="A3"/>
          <w:rFonts w:ascii="Times New Roman" w:hAnsi="Times New Roman" w:cs="Times New Roman"/>
          <w:color w:val="auto"/>
          <w:sz w:val="24"/>
          <w:szCs w:val="24"/>
          <w:lang w:val="en-GB"/>
        </w:rPr>
      </w:pPr>
      <w:r w:rsidRPr="00E61652">
        <w:rPr>
          <w:rFonts w:ascii="Times New Roman" w:hAnsi="Times New Roman" w:cs="Times New Roman"/>
          <w:sz w:val="24"/>
          <w:szCs w:val="24"/>
          <w:lang w:val="en-GB"/>
        </w:rPr>
        <w:t xml:space="preserve">According to previous studies, some foods </w:t>
      </w:r>
      <w:proofErr w:type="spellStart"/>
      <w:r w:rsidRPr="00E61652">
        <w:rPr>
          <w:rFonts w:ascii="Times New Roman" w:hAnsi="Times New Roman" w:cs="Times New Roman"/>
          <w:sz w:val="24"/>
          <w:szCs w:val="24"/>
          <w:lang w:val="en-GB"/>
        </w:rPr>
        <w:t>canhelp</w:t>
      </w:r>
      <w:proofErr w:type="spellEnd"/>
      <w:r w:rsidRPr="00E61652">
        <w:rPr>
          <w:rFonts w:ascii="Times New Roman" w:hAnsi="Times New Roman" w:cs="Times New Roman"/>
          <w:sz w:val="24"/>
          <w:szCs w:val="24"/>
          <w:lang w:val="en-GB"/>
        </w:rPr>
        <w:t xml:space="preserve"> increase or decrease the serum uric acid </w:t>
      </w:r>
      <w:proofErr w:type="spellStart"/>
      <w:r w:rsidRPr="00E61652">
        <w:rPr>
          <w:rFonts w:ascii="Times New Roman" w:hAnsi="Times New Roman" w:cs="Times New Roman"/>
          <w:sz w:val="24"/>
          <w:szCs w:val="24"/>
          <w:lang w:val="en-GB"/>
        </w:rPr>
        <w:t>levelsdepending</w:t>
      </w:r>
      <w:proofErr w:type="spellEnd"/>
      <w:r w:rsidRPr="00E61652">
        <w:rPr>
          <w:rFonts w:ascii="Times New Roman" w:hAnsi="Times New Roman" w:cs="Times New Roman"/>
          <w:sz w:val="24"/>
          <w:szCs w:val="24"/>
          <w:lang w:val="en-GB"/>
        </w:rPr>
        <w:t xml:space="preserve"> on their </w:t>
      </w:r>
      <w:proofErr w:type="spellStart"/>
      <w:r w:rsidRPr="00E61652">
        <w:rPr>
          <w:rFonts w:ascii="Times New Roman" w:hAnsi="Times New Roman" w:cs="Times New Roman"/>
          <w:sz w:val="24"/>
          <w:szCs w:val="24"/>
          <w:lang w:val="en-GB"/>
        </w:rPr>
        <w:t>purine</w:t>
      </w:r>
      <w:proofErr w:type="spellEnd"/>
      <w:r w:rsidRPr="00E61652">
        <w:rPr>
          <w:rFonts w:ascii="Times New Roman" w:hAnsi="Times New Roman" w:cs="Times New Roman"/>
          <w:sz w:val="24"/>
          <w:szCs w:val="24"/>
          <w:lang w:val="en-GB"/>
        </w:rPr>
        <w:t xml:space="preserve"> content. </w:t>
      </w:r>
      <w:proofErr w:type="spellStart"/>
      <w:r w:rsidRPr="00E61652">
        <w:rPr>
          <w:rFonts w:ascii="Times New Roman" w:hAnsi="Times New Roman" w:cs="Times New Roman"/>
          <w:sz w:val="24"/>
          <w:szCs w:val="24"/>
          <w:lang w:val="en-GB"/>
        </w:rPr>
        <w:t>Thereis</w:t>
      </w:r>
      <w:proofErr w:type="spellEnd"/>
      <w:r w:rsidRPr="00E61652">
        <w:rPr>
          <w:rFonts w:ascii="Times New Roman" w:hAnsi="Times New Roman" w:cs="Times New Roman"/>
          <w:sz w:val="24"/>
          <w:szCs w:val="24"/>
          <w:lang w:val="en-GB"/>
        </w:rPr>
        <w:t xml:space="preserve"> still little information on the </w:t>
      </w:r>
      <w:r w:rsidRPr="00E61652">
        <w:rPr>
          <w:rFonts w:ascii="Times New Roman" w:hAnsi="Times New Roman" w:cs="Times New Roman"/>
          <w:sz w:val="24"/>
          <w:szCs w:val="24"/>
          <w:lang w:val="en-GB"/>
        </w:rPr>
        <w:lastRenderedPageBreak/>
        <w:t xml:space="preserve">exact amount </w:t>
      </w:r>
      <w:proofErr w:type="spellStart"/>
      <w:r w:rsidRPr="00E61652">
        <w:rPr>
          <w:rFonts w:ascii="Times New Roman" w:hAnsi="Times New Roman" w:cs="Times New Roman"/>
          <w:sz w:val="24"/>
          <w:szCs w:val="24"/>
          <w:lang w:val="en-GB"/>
        </w:rPr>
        <w:t>ofpurines</w:t>
      </w:r>
      <w:proofErr w:type="spellEnd"/>
      <w:r w:rsidRPr="00E61652">
        <w:rPr>
          <w:rFonts w:ascii="Times New Roman" w:hAnsi="Times New Roman" w:cs="Times New Roman"/>
          <w:sz w:val="24"/>
          <w:szCs w:val="24"/>
          <w:lang w:val="en-GB"/>
        </w:rPr>
        <w:t xml:space="preserve"> contained in foods, since their </w:t>
      </w:r>
      <w:proofErr w:type="spellStart"/>
      <w:r w:rsidRPr="00E61652">
        <w:rPr>
          <w:rFonts w:ascii="Times New Roman" w:hAnsi="Times New Roman" w:cs="Times New Roman"/>
          <w:sz w:val="24"/>
          <w:szCs w:val="24"/>
          <w:lang w:val="en-GB"/>
        </w:rPr>
        <w:t>contentand</w:t>
      </w:r>
      <w:proofErr w:type="spellEnd"/>
      <w:r w:rsidRPr="00E61652">
        <w:rPr>
          <w:rFonts w:ascii="Times New Roman" w:hAnsi="Times New Roman" w:cs="Times New Roman"/>
          <w:sz w:val="24"/>
          <w:szCs w:val="24"/>
          <w:lang w:val="en-GB"/>
        </w:rPr>
        <w:t xml:space="preserve"> availability depend on the food processing procedures, among other factors. </w:t>
      </w:r>
      <w:r w:rsidR="00CE1865" w:rsidRPr="00E61652">
        <w:rPr>
          <w:rFonts w:ascii="Times New Roman" w:hAnsi="Times New Roman" w:cs="Times New Roman"/>
          <w:sz w:val="24"/>
          <w:szCs w:val="24"/>
          <w:vertAlign w:val="superscript"/>
          <w:lang w:val="en-GB"/>
        </w:rPr>
        <w:t>22</w:t>
      </w:r>
    </w:p>
    <w:p w:rsidR="00C41941" w:rsidRPr="00E61652" w:rsidRDefault="00C41941" w:rsidP="00C41941">
      <w:pPr>
        <w:autoSpaceDE w:val="0"/>
        <w:autoSpaceDN w:val="0"/>
        <w:adjustRightInd w:val="0"/>
        <w:spacing w:line="360" w:lineRule="auto"/>
        <w:ind w:firstLine="720"/>
        <w:jc w:val="both"/>
        <w:rPr>
          <w:rFonts w:ascii="Times New Roman" w:eastAsia="Times New Roman" w:hAnsi="Times New Roman" w:cs="Times New Roman"/>
          <w:sz w:val="24"/>
          <w:szCs w:val="24"/>
          <w:lang w:val="en-GB" w:eastAsia="id-ID"/>
        </w:rPr>
      </w:pPr>
      <w:r w:rsidRPr="00E61652">
        <w:rPr>
          <w:rStyle w:val="A3"/>
          <w:rFonts w:ascii="Times New Roman" w:hAnsi="Times New Roman" w:cs="Times New Roman"/>
          <w:color w:val="auto"/>
          <w:sz w:val="24"/>
          <w:szCs w:val="24"/>
          <w:lang w:val="en-GB"/>
        </w:rPr>
        <w:t>This research suggested m</w:t>
      </w:r>
      <w:r w:rsidRPr="00E61652">
        <w:rPr>
          <w:rStyle w:val="A3"/>
          <w:rFonts w:ascii="Times New Roman" w:hAnsi="Times New Roman" w:cs="Times New Roman"/>
          <w:color w:val="auto"/>
          <w:sz w:val="24"/>
          <w:szCs w:val="24"/>
        </w:rPr>
        <w:t xml:space="preserve">odifiable risk factors for </w:t>
      </w:r>
      <w:proofErr w:type="spellStart"/>
      <w:r w:rsidRPr="00E61652">
        <w:rPr>
          <w:rStyle w:val="A3"/>
          <w:rFonts w:ascii="Times New Roman" w:hAnsi="Times New Roman" w:cs="Times New Roman"/>
          <w:color w:val="auto"/>
          <w:sz w:val="24"/>
          <w:szCs w:val="24"/>
          <w:lang w:val="en-GB"/>
        </w:rPr>
        <w:t>hyperuricemia</w:t>
      </w:r>
      <w:proofErr w:type="spellEnd"/>
      <w:r w:rsidRPr="00E61652">
        <w:rPr>
          <w:rStyle w:val="A3"/>
          <w:rFonts w:ascii="Times New Roman" w:hAnsi="Times New Roman" w:cs="Times New Roman"/>
          <w:color w:val="auto"/>
          <w:sz w:val="24"/>
          <w:szCs w:val="24"/>
        </w:rPr>
        <w:t xml:space="preserve">, such as </w:t>
      </w:r>
      <w:r w:rsidRPr="00E61652">
        <w:rPr>
          <w:rFonts w:ascii="Times New Roman" w:hAnsi="Times New Roman" w:cs="Times New Roman"/>
          <w:iCs/>
          <w:sz w:val="24"/>
          <w:szCs w:val="24"/>
        </w:rPr>
        <w:t xml:space="preserve">control of </w:t>
      </w:r>
      <w:r w:rsidRPr="00E61652">
        <w:rPr>
          <w:rFonts w:ascii="Times New Roman" w:hAnsi="Times New Roman" w:cs="Times New Roman"/>
          <w:iCs/>
          <w:sz w:val="24"/>
          <w:szCs w:val="24"/>
          <w:lang w:val="en-GB"/>
        </w:rPr>
        <w:t xml:space="preserve">high </w:t>
      </w:r>
      <w:proofErr w:type="spellStart"/>
      <w:r w:rsidRPr="00E61652">
        <w:rPr>
          <w:rFonts w:ascii="Times New Roman" w:hAnsi="Times New Roman" w:cs="Times New Roman"/>
          <w:iCs/>
          <w:sz w:val="24"/>
          <w:szCs w:val="24"/>
          <w:lang w:val="en-GB"/>
        </w:rPr>
        <w:t>purin</w:t>
      </w:r>
      <w:proofErr w:type="spellEnd"/>
      <w:r w:rsidRPr="00E61652">
        <w:rPr>
          <w:rFonts w:ascii="Times New Roman" w:hAnsi="Times New Roman" w:cs="Times New Roman"/>
          <w:iCs/>
          <w:sz w:val="24"/>
          <w:szCs w:val="24"/>
          <w:lang w:val="en-GB"/>
        </w:rPr>
        <w:t xml:space="preserve"> consumption, </w:t>
      </w:r>
      <w:r w:rsidRPr="00E61652">
        <w:rPr>
          <w:rFonts w:ascii="Times New Roman" w:eastAsia="Times New Roman" w:hAnsi="Times New Roman" w:cs="Times New Roman"/>
          <w:sz w:val="24"/>
          <w:szCs w:val="24"/>
          <w:lang w:eastAsia="id-ID"/>
        </w:rPr>
        <w:t>multiply drink</w:t>
      </w:r>
      <w:proofErr w:type="spellStart"/>
      <w:r w:rsidR="008A2B3A" w:rsidRPr="00E61652">
        <w:rPr>
          <w:rFonts w:ascii="Times New Roman" w:eastAsia="Times New Roman" w:hAnsi="Times New Roman" w:cs="Times New Roman"/>
          <w:sz w:val="24"/>
          <w:szCs w:val="24"/>
          <w:lang w:val="en-GB" w:eastAsia="id-ID"/>
        </w:rPr>
        <w:t>ing</w:t>
      </w:r>
      <w:proofErr w:type="spellEnd"/>
      <w:r w:rsidRPr="00E61652">
        <w:rPr>
          <w:rFonts w:ascii="Times New Roman" w:eastAsia="Times New Roman" w:hAnsi="Times New Roman" w:cs="Times New Roman"/>
          <w:sz w:val="24"/>
          <w:szCs w:val="24"/>
          <w:lang w:eastAsia="id-ID"/>
        </w:rPr>
        <w:t xml:space="preserve"> water and eat</w:t>
      </w:r>
      <w:proofErr w:type="spellStart"/>
      <w:r w:rsidR="008A2B3A" w:rsidRPr="00E61652">
        <w:rPr>
          <w:rFonts w:ascii="Times New Roman" w:eastAsia="Times New Roman" w:hAnsi="Times New Roman" w:cs="Times New Roman"/>
          <w:sz w:val="24"/>
          <w:szCs w:val="24"/>
          <w:lang w:val="en-GB" w:eastAsia="id-ID"/>
        </w:rPr>
        <w:t>ing</w:t>
      </w:r>
      <w:proofErr w:type="spellEnd"/>
      <w:r w:rsidRPr="00E61652">
        <w:rPr>
          <w:rFonts w:ascii="Times New Roman" w:eastAsia="Times New Roman" w:hAnsi="Times New Roman" w:cs="Times New Roman"/>
          <w:sz w:val="24"/>
          <w:szCs w:val="24"/>
          <w:lang w:eastAsia="id-ID"/>
        </w:rPr>
        <w:t xml:space="preserve"> fruits that contain </w:t>
      </w:r>
      <w:r w:rsidR="008A2B3A" w:rsidRPr="00E61652">
        <w:rPr>
          <w:rFonts w:ascii="Times New Roman" w:eastAsia="Times New Roman" w:hAnsi="Times New Roman" w:cs="Times New Roman"/>
          <w:sz w:val="24"/>
          <w:szCs w:val="24"/>
          <w:lang w:eastAsia="id-ID"/>
        </w:rPr>
        <w:t>fluid</w:t>
      </w:r>
      <w:r w:rsidR="008A2B3A" w:rsidRPr="00E61652">
        <w:rPr>
          <w:rFonts w:ascii="Times New Roman" w:eastAsia="Times New Roman" w:hAnsi="Times New Roman" w:cs="Times New Roman"/>
          <w:sz w:val="24"/>
          <w:szCs w:val="24"/>
          <w:lang w:val="en-GB" w:eastAsia="id-ID"/>
        </w:rPr>
        <w:t xml:space="preserve">; </w:t>
      </w:r>
      <w:r w:rsidRPr="00E61652">
        <w:rPr>
          <w:rFonts w:ascii="Times New Roman" w:eastAsia="Times New Roman" w:hAnsi="Times New Roman" w:cs="Times New Roman"/>
          <w:sz w:val="24"/>
          <w:szCs w:val="24"/>
          <w:lang w:eastAsia="id-ID"/>
        </w:rPr>
        <w:t>avoid</w:t>
      </w:r>
      <w:proofErr w:type="spellStart"/>
      <w:r w:rsidR="008A2B3A" w:rsidRPr="00E61652">
        <w:rPr>
          <w:rFonts w:ascii="Times New Roman" w:eastAsia="Times New Roman" w:hAnsi="Times New Roman" w:cs="Times New Roman"/>
          <w:sz w:val="24"/>
          <w:szCs w:val="24"/>
          <w:lang w:val="en-GB" w:eastAsia="id-ID"/>
        </w:rPr>
        <w:t>ing</w:t>
      </w:r>
      <w:proofErr w:type="spellEnd"/>
      <w:r w:rsidRPr="00E61652">
        <w:rPr>
          <w:rFonts w:ascii="Times New Roman" w:eastAsia="Times New Roman" w:hAnsi="Times New Roman" w:cs="Times New Roman"/>
          <w:sz w:val="24"/>
          <w:szCs w:val="24"/>
          <w:lang w:eastAsia="id-ID"/>
        </w:rPr>
        <w:t xml:space="preserve"> stress and regular light exercise or perform physical activities. </w:t>
      </w:r>
      <w:r w:rsidRPr="00E61652">
        <w:rPr>
          <w:rFonts w:ascii="Times New Roman" w:eastAsia="Times New Roman" w:hAnsi="Times New Roman" w:cs="Times New Roman"/>
          <w:sz w:val="24"/>
          <w:szCs w:val="24"/>
          <w:lang w:val="en-US" w:eastAsia="id-ID"/>
        </w:rPr>
        <w:t>For future study</w:t>
      </w:r>
      <w:r w:rsidRPr="00E61652">
        <w:rPr>
          <w:rFonts w:ascii="Times New Roman" w:eastAsia="Times New Roman" w:hAnsi="Times New Roman" w:cs="Times New Roman"/>
          <w:sz w:val="24"/>
          <w:szCs w:val="24"/>
          <w:lang w:val="en-GB" w:eastAsia="id-ID"/>
        </w:rPr>
        <w:t xml:space="preserve">, it is </w:t>
      </w:r>
      <w:proofErr w:type="spellStart"/>
      <w:r w:rsidRPr="00E61652">
        <w:rPr>
          <w:rFonts w:ascii="Times New Roman" w:eastAsia="Times New Roman" w:hAnsi="Times New Roman" w:cs="Times New Roman"/>
          <w:sz w:val="24"/>
          <w:szCs w:val="24"/>
          <w:lang w:val="en-GB" w:eastAsia="id-ID"/>
        </w:rPr>
        <w:t>sugessted</w:t>
      </w:r>
      <w:proofErr w:type="spellEnd"/>
      <w:r w:rsidRPr="00E61652">
        <w:rPr>
          <w:rFonts w:ascii="Times New Roman" w:eastAsia="Times New Roman" w:hAnsi="Times New Roman" w:cs="Times New Roman"/>
          <w:sz w:val="24"/>
          <w:szCs w:val="24"/>
          <w:lang w:val="en-GB" w:eastAsia="id-ID"/>
        </w:rPr>
        <w:t xml:space="preserve"> </w:t>
      </w:r>
      <w:r w:rsidRPr="00E61652">
        <w:rPr>
          <w:rFonts w:ascii="Times New Roman" w:eastAsia="Times New Roman" w:hAnsi="Times New Roman" w:cs="Times New Roman"/>
          <w:sz w:val="24"/>
          <w:szCs w:val="24"/>
          <w:lang w:eastAsia="id-ID"/>
        </w:rPr>
        <w:t>to carry out further research and make a more in-depth research and broader about factors that influence the</w:t>
      </w:r>
      <w:r w:rsidR="008A2B3A" w:rsidRPr="00E61652">
        <w:rPr>
          <w:rFonts w:ascii="Times New Roman" w:eastAsia="Times New Roman" w:hAnsi="Times New Roman" w:cs="Times New Roman"/>
          <w:sz w:val="24"/>
          <w:szCs w:val="24"/>
          <w:lang w:val="en-GB" w:eastAsia="id-ID"/>
        </w:rPr>
        <w:t xml:space="preserve"> prevalence</w:t>
      </w:r>
      <w:r w:rsidRPr="00E61652">
        <w:rPr>
          <w:rFonts w:ascii="Times New Roman" w:eastAsia="Times New Roman" w:hAnsi="Times New Roman" w:cs="Times New Roman"/>
          <w:sz w:val="24"/>
          <w:szCs w:val="24"/>
          <w:lang w:eastAsia="id-ID"/>
        </w:rPr>
        <w:t xml:space="preserve"> of </w:t>
      </w:r>
      <w:proofErr w:type="spellStart"/>
      <w:r w:rsidRPr="00E61652">
        <w:rPr>
          <w:rFonts w:ascii="Times New Roman" w:eastAsia="Times New Roman" w:hAnsi="Times New Roman" w:cs="Times New Roman"/>
          <w:sz w:val="24"/>
          <w:szCs w:val="24"/>
          <w:lang w:val="en-GB" w:eastAsia="id-ID"/>
        </w:rPr>
        <w:t>hyperuricemia</w:t>
      </w:r>
      <w:proofErr w:type="spellEnd"/>
      <w:r w:rsidRPr="00E61652">
        <w:rPr>
          <w:rFonts w:ascii="Times New Roman" w:eastAsia="Times New Roman" w:hAnsi="Times New Roman" w:cs="Times New Roman"/>
          <w:sz w:val="24"/>
          <w:szCs w:val="24"/>
          <w:lang w:val="en-GB" w:eastAsia="id-ID"/>
        </w:rPr>
        <w:t>.</w:t>
      </w:r>
    </w:p>
    <w:p w:rsidR="004B702D" w:rsidRPr="00E61652" w:rsidRDefault="004B702D" w:rsidP="00C41941">
      <w:pPr>
        <w:autoSpaceDE w:val="0"/>
        <w:autoSpaceDN w:val="0"/>
        <w:adjustRightInd w:val="0"/>
        <w:spacing w:line="360" w:lineRule="auto"/>
        <w:ind w:firstLine="720"/>
        <w:jc w:val="both"/>
        <w:rPr>
          <w:rFonts w:ascii="Times New Roman" w:eastAsia="Times New Roman" w:hAnsi="Times New Roman" w:cs="Times New Roman"/>
          <w:lang w:val="en-GB" w:eastAsia="id-ID"/>
        </w:rPr>
      </w:pPr>
    </w:p>
    <w:p w:rsidR="00C41941" w:rsidRPr="00E61652" w:rsidRDefault="00C41941" w:rsidP="00C41941">
      <w:pPr>
        <w:spacing w:line="360" w:lineRule="atLeast"/>
        <w:rPr>
          <w:rFonts w:ascii="Times New Roman" w:eastAsia="Times New Roman" w:hAnsi="Times New Roman" w:cs="Times New Roman"/>
          <w:b/>
          <w:lang w:eastAsia="id-ID"/>
        </w:rPr>
      </w:pPr>
      <w:r w:rsidRPr="00E61652">
        <w:rPr>
          <w:rFonts w:ascii="Times New Roman" w:eastAsia="Times New Roman" w:hAnsi="Times New Roman" w:cs="Times New Roman"/>
          <w:b/>
          <w:bCs/>
          <w:sz w:val="24"/>
          <w:szCs w:val="24"/>
          <w:lang w:eastAsia="id-ID"/>
        </w:rPr>
        <w:t>Conclusion</w:t>
      </w:r>
    </w:p>
    <w:p w:rsidR="00C41941" w:rsidRPr="00E61652" w:rsidRDefault="00C41941" w:rsidP="00C41941">
      <w:pPr>
        <w:autoSpaceDE w:val="0"/>
        <w:autoSpaceDN w:val="0"/>
        <w:adjustRightInd w:val="0"/>
        <w:spacing w:line="360" w:lineRule="auto"/>
        <w:ind w:firstLine="720"/>
        <w:jc w:val="both"/>
        <w:rPr>
          <w:rFonts w:ascii="Times New Roman" w:eastAsia="Times New Roman" w:hAnsi="Times New Roman" w:cs="Times New Roman"/>
          <w:sz w:val="24"/>
          <w:szCs w:val="24"/>
          <w:lang w:val="en-GB" w:eastAsia="id-ID"/>
        </w:rPr>
      </w:pPr>
      <w:r w:rsidRPr="00E61652">
        <w:rPr>
          <w:rFonts w:ascii="Times New Roman" w:hAnsi="Times New Roman" w:cs="Times New Roman"/>
          <w:iCs/>
          <w:sz w:val="24"/>
          <w:szCs w:val="24"/>
          <w:lang w:val="en-GB"/>
        </w:rPr>
        <w:t>About 18</w:t>
      </w:r>
      <w:r w:rsidRPr="00E61652">
        <w:rPr>
          <w:rFonts w:ascii="Times New Roman" w:hAnsi="Times New Roman" w:cs="Times New Roman"/>
          <w:iCs/>
          <w:sz w:val="24"/>
          <w:szCs w:val="24"/>
        </w:rPr>
        <w:t>.</w:t>
      </w:r>
      <w:r w:rsidRPr="00E61652">
        <w:rPr>
          <w:rFonts w:ascii="Times New Roman" w:hAnsi="Times New Roman" w:cs="Times New Roman"/>
          <w:iCs/>
          <w:sz w:val="24"/>
          <w:szCs w:val="24"/>
          <w:lang w:val="en-GB"/>
        </w:rPr>
        <w:t>6</w:t>
      </w:r>
      <w:r w:rsidRPr="00E61652">
        <w:rPr>
          <w:rFonts w:ascii="Times New Roman" w:hAnsi="Times New Roman" w:cs="Times New Roman"/>
          <w:iCs/>
          <w:sz w:val="24"/>
          <w:szCs w:val="24"/>
        </w:rPr>
        <w:t xml:space="preserve">% of the subjects presented hyperuricemia,which was more frequent inmales, age </w:t>
      </w:r>
      <w:r w:rsidRPr="00E61652">
        <w:rPr>
          <w:rFonts w:ascii="Times New Roman" w:hAnsi="Times New Roman" w:cs="Times New Roman"/>
          <w:sz w:val="24"/>
          <w:szCs w:val="24"/>
        </w:rPr>
        <w:t>≥</w:t>
      </w:r>
      <w:r w:rsidRPr="00E61652">
        <w:rPr>
          <w:rFonts w:ascii="Times New Roman" w:hAnsi="Times New Roman" w:cs="Times New Roman"/>
          <w:iCs/>
          <w:sz w:val="24"/>
          <w:szCs w:val="24"/>
        </w:rPr>
        <w:t>5</w:t>
      </w:r>
      <w:r w:rsidRPr="00E61652">
        <w:rPr>
          <w:rFonts w:ascii="Times New Roman" w:hAnsi="Times New Roman" w:cs="Times New Roman"/>
          <w:iCs/>
          <w:sz w:val="24"/>
          <w:szCs w:val="24"/>
          <w:lang w:val="en-GB"/>
        </w:rPr>
        <w:t>0</w:t>
      </w:r>
      <w:r w:rsidRPr="00E61652">
        <w:rPr>
          <w:rFonts w:ascii="Times New Roman" w:hAnsi="Times New Roman" w:cs="Times New Roman"/>
          <w:iCs/>
          <w:sz w:val="24"/>
          <w:szCs w:val="24"/>
        </w:rPr>
        <w:t xml:space="preserve"> years</w:t>
      </w:r>
      <w:r w:rsidRPr="00E61652">
        <w:rPr>
          <w:rFonts w:ascii="Times New Roman" w:hAnsi="Times New Roman" w:cs="Times New Roman"/>
          <w:iCs/>
          <w:sz w:val="24"/>
          <w:szCs w:val="24"/>
          <w:lang w:val="en-GB"/>
        </w:rPr>
        <w:t>, with elementary school background</w:t>
      </w:r>
      <w:r w:rsidRPr="00E61652">
        <w:rPr>
          <w:rFonts w:ascii="Times New Roman" w:hAnsi="Times New Roman" w:cs="Times New Roman"/>
          <w:iCs/>
          <w:sz w:val="24"/>
          <w:szCs w:val="24"/>
        </w:rPr>
        <w:t xml:space="preserve">, </w:t>
      </w:r>
      <w:r w:rsidRPr="00E61652">
        <w:rPr>
          <w:rFonts w:ascii="Times New Roman" w:hAnsi="Times New Roman" w:cs="Times New Roman"/>
          <w:iCs/>
          <w:sz w:val="24"/>
          <w:szCs w:val="24"/>
          <w:lang w:val="en-GB"/>
        </w:rPr>
        <w:t xml:space="preserve">not working and has history of </w:t>
      </w:r>
      <w:proofErr w:type="spellStart"/>
      <w:r w:rsidRPr="00E61652">
        <w:rPr>
          <w:rFonts w:ascii="Times New Roman" w:hAnsi="Times New Roman" w:cs="Times New Roman"/>
          <w:iCs/>
          <w:sz w:val="24"/>
          <w:szCs w:val="24"/>
          <w:lang w:val="en-GB"/>
        </w:rPr>
        <w:t>purin</w:t>
      </w:r>
      <w:proofErr w:type="spellEnd"/>
      <w:r w:rsidRPr="00E61652">
        <w:rPr>
          <w:rFonts w:ascii="Times New Roman" w:hAnsi="Times New Roman" w:cs="Times New Roman"/>
          <w:iCs/>
          <w:sz w:val="24"/>
          <w:szCs w:val="24"/>
          <w:lang w:val="en-GB"/>
        </w:rPr>
        <w:t xml:space="preserve"> consumption.</w:t>
      </w:r>
      <w:r w:rsidRPr="00E61652">
        <w:rPr>
          <w:rFonts w:ascii="Times New Roman" w:hAnsi="Times New Roman" w:cs="Times New Roman"/>
          <w:iCs/>
          <w:sz w:val="24"/>
          <w:szCs w:val="24"/>
        </w:rPr>
        <w:t xml:space="preserve"> In the multivariate analysis, the associations remained significant with gender, </w:t>
      </w:r>
      <w:r w:rsidRPr="00E61652">
        <w:rPr>
          <w:rFonts w:ascii="Times New Roman" w:hAnsi="Times New Roman" w:cs="Times New Roman"/>
          <w:iCs/>
          <w:sz w:val="24"/>
          <w:szCs w:val="24"/>
          <w:lang w:val="en-GB"/>
        </w:rPr>
        <w:t xml:space="preserve">age, work status </w:t>
      </w:r>
      <w:r w:rsidRPr="00E61652">
        <w:rPr>
          <w:rFonts w:ascii="Times New Roman" w:hAnsi="Times New Roman" w:cs="Times New Roman"/>
          <w:iCs/>
          <w:sz w:val="24"/>
          <w:szCs w:val="24"/>
        </w:rPr>
        <w:t xml:space="preserve">and </w:t>
      </w:r>
      <w:r w:rsidRPr="00E61652">
        <w:rPr>
          <w:rFonts w:ascii="Times New Roman" w:hAnsi="Times New Roman" w:cs="Times New Roman"/>
          <w:iCs/>
          <w:sz w:val="24"/>
          <w:szCs w:val="24"/>
          <w:lang w:val="en-GB"/>
        </w:rPr>
        <w:t xml:space="preserve">has history of </w:t>
      </w:r>
      <w:proofErr w:type="spellStart"/>
      <w:r w:rsidRPr="00E61652">
        <w:rPr>
          <w:rFonts w:ascii="Times New Roman" w:hAnsi="Times New Roman" w:cs="Times New Roman"/>
          <w:iCs/>
          <w:sz w:val="24"/>
          <w:szCs w:val="24"/>
          <w:lang w:val="en-GB"/>
        </w:rPr>
        <w:t>purin</w:t>
      </w:r>
      <w:proofErr w:type="spellEnd"/>
      <w:r w:rsidRPr="00E61652">
        <w:rPr>
          <w:rFonts w:ascii="Times New Roman" w:hAnsi="Times New Roman" w:cs="Times New Roman"/>
          <w:iCs/>
          <w:sz w:val="24"/>
          <w:szCs w:val="24"/>
          <w:lang w:val="en-GB"/>
        </w:rPr>
        <w:t xml:space="preserve"> consumption</w:t>
      </w:r>
      <w:r w:rsidRPr="00E61652">
        <w:rPr>
          <w:rFonts w:ascii="Times New Roman" w:hAnsi="Times New Roman" w:cs="Times New Roman"/>
          <w:iCs/>
          <w:sz w:val="24"/>
          <w:szCs w:val="24"/>
        </w:rPr>
        <w:t xml:space="preserve">. The high hyperuricemia prevalence suggests that changes in nutritional profile and control of </w:t>
      </w:r>
      <w:r w:rsidRPr="00E61652">
        <w:rPr>
          <w:rFonts w:ascii="Times New Roman" w:hAnsi="Times New Roman" w:cs="Times New Roman"/>
          <w:iCs/>
          <w:sz w:val="24"/>
          <w:szCs w:val="24"/>
          <w:lang w:val="en-GB"/>
        </w:rPr>
        <w:t xml:space="preserve">high </w:t>
      </w:r>
      <w:proofErr w:type="spellStart"/>
      <w:r w:rsidRPr="00E61652">
        <w:rPr>
          <w:rFonts w:ascii="Times New Roman" w:hAnsi="Times New Roman" w:cs="Times New Roman"/>
          <w:iCs/>
          <w:sz w:val="24"/>
          <w:szCs w:val="24"/>
          <w:lang w:val="en-GB"/>
        </w:rPr>
        <w:t>purin</w:t>
      </w:r>
      <w:proofErr w:type="spellEnd"/>
      <w:r w:rsidRPr="00E61652">
        <w:rPr>
          <w:rFonts w:ascii="Times New Roman" w:hAnsi="Times New Roman" w:cs="Times New Roman"/>
          <w:iCs/>
          <w:sz w:val="24"/>
          <w:szCs w:val="24"/>
          <w:lang w:val="en-GB"/>
        </w:rPr>
        <w:t xml:space="preserve"> consumption </w:t>
      </w:r>
      <w:r w:rsidRPr="00E61652">
        <w:rPr>
          <w:rFonts w:ascii="Times New Roman" w:hAnsi="Times New Roman" w:cs="Times New Roman"/>
          <w:iCs/>
          <w:sz w:val="24"/>
          <w:szCs w:val="24"/>
        </w:rPr>
        <w:t xml:space="preserve">could help minimize occurrence of this condition. </w:t>
      </w:r>
      <w:r w:rsidRPr="00E61652">
        <w:rPr>
          <w:rFonts w:ascii="Times New Roman" w:hAnsi="Times New Roman" w:cs="Times New Roman"/>
          <w:iCs/>
          <w:sz w:val="24"/>
          <w:szCs w:val="24"/>
          <w:lang w:val="en-GB"/>
        </w:rPr>
        <w:t xml:space="preserve">More over </w:t>
      </w:r>
      <w:r w:rsidRPr="00E61652">
        <w:rPr>
          <w:rFonts w:ascii="Times New Roman" w:eastAsia="Times New Roman" w:hAnsi="Times New Roman" w:cs="Times New Roman"/>
          <w:sz w:val="24"/>
          <w:szCs w:val="24"/>
          <w:lang w:eastAsia="id-ID"/>
        </w:rPr>
        <w:t>multiply drink water and eat fruits that contain fluid and the low purine diet, avoid stress and regular light exercise or perform physical activities. For next researcher</w:t>
      </w:r>
      <w:r w:rsidRPr="00E61652">
        <w:rPr>
          <w:rFonts w:ascii="Times New Roman" w:eastAsia="Times New Roman" w:hAnsi="Times New Roman" w:cs="Times New Roman"/>
          <w:sz w:val="24"/>
          <w:szCs w:val="24"/>
          <w:lang w:val="en-GB" w:eastAsia="id-ID"/>
        </w:rPr>
        <w:t xml:space="preserve">, it is </w:t>
      </w:r>
      <w:proofErr w:type="spellStart"/>
      <w:r w:rsidRPr="00E61652">
        <w:rPr>
          <w:rFonts w:ascii="Times New Roman" w:eastAsia="Times New Roman" w:hAnsi="Times New Roman" w:cs="Times New Roman"/>
          <w:sz w:val="24"/>
          <w:szCs w:val="24"/>
          <w:lang w:val="en-GB" w:eastAsia="id-ID"/>
        </w:rPr>
        <w:t>sugessted</w:t>
      </w:r>
      <w:proofErr w:type="spellEnd"/>
      <w:r w:rsidRPr="00E61652">
        <w:rPr>
          <w:rFonts w:ascii="Times New Roman" w:eastAsia="Times New Roman" w:hAnsi="Times New Roman" w:cs="Times New Roman"/>
          <w:sz w:val="24"/>
          <w:szCs w:val="24"/>
          <w:lang w:val="en-GB" w:eastAsia="id-ID"/>
        </w:rPr>
        <w:t xml:space="preserve"> </w:t>
      </w:r>
      <w:r w:rsidRPr="00E61652">
        <w:rPr>
          <w:rFonts w:ascii="Times New Roman" w:eastAsia="Times New Roman" w:hAnsi="Times New Roman" w:cs="Times New Roman"/>
          <w:sz w:val="24"/>
          <w:szCs w:val="24"/>
          <w:lang w:eastAsia="id-ID"/>
        </w:rPr>
        <w:t xml:space="preserve"> to carry out further research and make a more in-depth research and broader about factors that influence the incidence of </w:t>
      </w:r>
      <w:proofErr w:type="spellStart"/>
      <w:r w:rsidRPr="00E61652">
        <w:rPr>
          <w:rFonts w:ascii="Times New Roman" w:eastAsia="Times New Roman" w:hAnsi="Times New Roman" w:cs="Times New Roman"/>
          <w:sz w:val="24"/>
          <w:szCs w:val="24"/>
          <w:lang w:val="en-GB" w:eastAsia="id-ID"/>
        </w:rPr>
        <w:t>hyperuricemia</w:t>
      </w:r>
      <w:proofErr w:type="spellEnd"/>
      <w:r w:rsidRPr="00E61652">
        <w:rPr>
          <w:rFonts w:ascii="Times New Roman" w:eastAsia="Times New Roman" w:hAnsi="Times New Roman" w:cs="Times New Roman"/>
          <w:sz w:val="24"/>
          <w:szCs w:val="24"/>
          <w:lang w:val="en-GB" w:eastAsia="id-ID"/>
        </w:rPr>
        <w:t>.</w:t>
      </w:r>
    </w:p>
    <w:p w:rsidR="004F4E82" w:rsidRPr="00E61652" w:rsidRDefault="004F4E82" w:rsidP="004F4E82">
      <w:pPr>
        <w:autoSpaceDE w:val="0"/>
        <w:autoSpaceDN w:val="0"/>
        <w:adjustRightInd w:val="0"/>
        <w:spacing w:line="241" w:lineRule="atLeast"/>
        <w:jc w:val="both"/>
        <w:rPr>
          <w:rFonts w:ascii="Times New Roman" w:hAnsi="Times New Roman" w:cs="Times New Roman"/>
          <w:b/>
          <w:bCs/>
          <w:color w:val="221E1F"/>
          <w:lang w:val="en-GB"/>
        </w:rPr>
      </w:pPr>
    </w:p>
    <w:p w:rsidR="004F4E82" w:rsidRPr="00E61652" w:rsidRDefault="004F4E82" w:rsidP="000F04F9">
      <w:pPr>
        <w:autoSpaceDE w:val="0"/>
        <w:autoSpaceDN w:val="0"/>
        <w:adjustRightInd w:val="0"/>
        <w:spacing w:line="360" w:lineRule="auto"/>
        <w:jc w:val="both"/>
        <w:rPr>
          <w:rFonts w:ascii="Times New Roman" w:hAnsi="Times New Roman" w:cs="Times New Roman"/>
          <w:color w:val="221E1F"/>
          <w:sz w:val="24"/>
          <w:szCs w:val="24"/>
          <w:lang w:val="en-GB"/>
        </w:rPr>
      </w:pPr>
      <w:r w:rsidRPr="00E61652">
        <w:rPr>
          <w:rFonts w:ascii="Times New Roman" w:hAnsi="Times New Roman" w:cs="Times New Roman"/>
          <w:b/>
          <w:bCs/>
          <w:color w:val="221E1F"/>
          <w:sz w:val="24"/>
          <w:szCs w:val="24"/>
          <w:lang w:val="en-GB"/>
        </w:rPr>
        <w:t>Acknowledgment</w:t>
      </w:r>
    </w:p>
    <w:p w:rsidR="004F4E82" w:rsidRPr="00E61652" w:rsidRDefault="004F4E82" w:rsidP="0043791B">
      <w:pPr>
        <w:autoSpaceDE w:val="0"/>
        <w:autoSpaceDN w:val="0"/>
        <w:adjustRightInd w:val="0"/>
        <w:spacing w:line="360" w:lineRule="auto"/>
        <w:ind w:firstLine="720"/>
        <w:jc w:val="both"/>
        <w:rPr>
          <w:rFonts w:ascii="Times New Roman" w:hAnsi="Times New Roman" w:cs="Times New Roman"/>
          <w:color w:val="221E1F"/>
          <w:sz w:val="24"/>
          <w:szCs w:val="24"/>
          <w:lang w:val="en-GB"/>
        </w:rPr>
      </w:pPr>
      <w:r w:rsidRPr="00E61652">
        <w:rPr>
          <w:rFonts w:ascii="Times New Roman" w:hAnsi="Times New Roman" w:cs="Times New Roman"/>
          <w:color w:val="221E1F"/>
          <w:sz w:val="24"/>
          <w:szCs w:val="24"/>
          <w:lang w:val="en-GB"/>
        </w:rPr>
        <w:t xml:space="preserve">Thank you to </w:t>
      </w:r>
      <w:proofErr w:type="spellStart"/>
      <w:r w:rsidRPr="00E61652">
        <w:rPr>
          <w:rFonts w:ascii="Times New Roman" w:hAnsi="Times New Roman" w:cs="Times New Roman"/>
          <w:color w:val="221E1F"/>
          <w:sz w:val="24"/>
          <w:szCs w:val="24"/>
          <w:lang w:val="en-GB"/>
        </w:rPr>
        <w:t>Lembaga</w:t>
      </w:r>
      <w:proofErr w:type="spellEnd"/>
      <w:r w:rsidRPr="00E61652">
        <w:rPr>
          <w:rFonts w:ascii="Times New Roman" w:hAnsi="Times New Roman" w:cs="Times New Roman"/>
          <w:color w:val="221E1F"/>
          <w:sz w:val="24"/>
          <w:szCs w:val="24"/>
          <w:lang w:val="en-GB"/>
        </w:rPr>
        <w:t xml:space="preserve"> </w:t>
      </w:r>
      <w:proofErr w:type="spellStart"/>
      <w:r w:rsidRPr="00E61652">
        <w:rPr>
          <w:rFonts w:ascii="Times New Roman" w:hAnsi="Times New Roman" w:cs="Times New Roman"/>
          <w:color w:val="221E1F"/>
          <w:sz w:val="24"/>
          <w:szCs w:val="24"/>
          <w:lang w:val="en-GB"/>
        </w:rPr>
        <w:t>Penelitian</w:t>
      </w:r>
      <w:proofErr w:type="spellEnd"/>
      <w:r w:rsidRPr="00E61652">
        <w:rPr>
          <w:rFonts w:ascii="Times New Roman" w:hAnsi="Times New Roman" w:cs="Times New Roman"/>
          <w:color w:val="221E1F"/>
          <w:sz w:val="24"/>
          <w:szCs w:val="24"/>
          <w:lang w:val="en-GB"/>
        </w:rPr>
        <w:t xml:space="preserve"> </w:t>
      </w:r>
      <w:proofErr w:type="spellStart"/>
      <w:r w:rsidRPr="00E61652">
        <w:rPr>
          <w:rFonts w:ascii="Times New Roman" w:hAnsi="Times New Roman" w:cs="Times New Roman"/>
          <w:color w:val="221E1F"/>
          <w:sz w:val="24"/>
          <w:szCs w:val="24"/>
          <w:lang w:val="en-GB"/>
        </w:rPr>
        <w:t>dan</w:t>
      </w:r>
      <w:proofErr w:type="spellEnd"/>
      <w:r w:rsidRPr="00E61652">
        <w:rPr>
          <w:rFonts w:ascii="Times New Roman" w:hAnsi="Times New Roman" w:cs="Times New Roman"/>
          <w:color w:val="221E1F"/>
          <w:sz w:val="24"/>
          <w:szCs w:val="24"/>
          <w:lang w:val="en-GB"/>
        </w:rPr>
        <w:t xml:space="preserve"> </w:t>
      </w:r>
      <w:proofErr w:type="spellStart"/>
      <w:r w:rsidRPr="00E61652">
        <w:rPr>
          <w:rFonts w:ascii="Times New Roman" w:hAnsi="Times New Roman" w:cs="Times New Roman"/>
          <w:color w:val="221E1F"/>
          <w:sz w:val="24"/>
          <w:szCs w:val="24"/>
          <w:lang w:val="en-GB"/>
        </w:rPr>
        <w:t>Pengabdian</w:t>
      </w:r>
      <w:proofErr w:type="spellEnd"/>
      <w:r w:rsidRPr="00E61652">
        <w:rPr>
          <w:rFonts w:ascii="Times New Roman" w:hAnsi="Times New Roman" w:cs="Times New Roman"/>
          <w:color w:val="221E1F"/>
          <w:sz w:val="24"/>
          <w:szCs w:val="24"/>
          <w:lang w:val="en-GB"/>
        </w:rPr>
        <w:t xml:space="preserve"> </w:t>
      </w:r>
      <w:proofErr w:type="spellStart"/>
      <w:r w:rsidRPr="00E61652">
        <w:rPr>
          <w:rFonts w:ascii="Times New Roman" w:hAnsi="Times New Roman" w:cs="Times New Roman"/>
          <w:color w:val="221E1F"/>
          <w:sz w:val="24"/>
          <w:szCs w:val="24"/>
          <w:lang w:val="en-GB"/>
        </w:rPr>
        <w:t>Masyarakat</w:t>
      </w:r>
      <w:proofErr w:type="spellEnd"/>
      <w:r w:rsidRPr="00E61652">
        <w:rPr>
          <w:rFonts w:ascii="Times New Roman" w:hAnsi="Times New Roman" w:cs="Times New Roman"/>
          <w:color w:val="221E1F"/>
          <w:sz w:val="24"/>
          <w:szCs w:val="24"/>
          <w:lang w:val="en-GB"/>
        </w:rPr>
        <w:t xml:space="preserve"> (LPPM) UPN “Veteran” Jakarta to support this study and all people who has contributed in organizing this study.</w:t>
      </w:r>
    </w:p>
    <w:p w:rsidR="004F4E82" w:rsidRPr="00E61652" w:rsidRDefault="004F4E82" w:rsidP="000F04F9">
      <w:pPr>
        <w:autoSpaceDE w:val="0"/>
        <w:autoSpaceDN w:val="0"/>
        <w:adjustRightInd w:val="0"/>
        <w:spacing w:line="360" w:lineRule="auto"/>
        <w:jc w:val="both"/>
        <w:rPr>
          <w:rFonts w:ascii="Times New Roman" w:hAnsi="Times New Roman" w:cs="Times New Roman"/>
          <w:b/>
          <w:bCs/>
          <w:color w:val="221E1F"/>
          <w:sz w:val="24"/>
          <w:szCs w:val="24"/>
          <w:lang w:val="en-GB"/>
        </w:rPr>
      </w:pPr>
    </w:p>
    <w:p w:rsidR="004F4E82" w:rsidRPr="00E61652" w:rsidRDefault="004F4E82" w:rsidP="000F04F9">
      <w:pPr>
        <w:autoSpaceDE w:val="0"/>
        <w:autoSpaceDN w:val="0"/>
        <w:adjustRightInd w:val="0"/>
        <w:spacing w:line="360" w:lineRule="auto"/>
        <w:jc w:val="both"/>
        <w:rPr>
          <w:rFonts w:ascii="Times New Roman" w:hAnsi="Times New Roman" w:cs="Times New Roman"/>
          <w:color w:val="221E1F"/>
          <w:sz w:val="24"/>
          <w:szCs w:val="24"/>
          <w:lang w:val="en-GB"/>
        </w:rPr>
      </w:pPr>
      <w:r w:rsidRPr="00E61652">
        <w:rPr>
          <w:rFonts w:ascii="Times New Roman" w:hAnsi="Times New Roman" w:cs="Times New Roman"/>
          <w:b/>
          <w:bCs/>
          <w:color w:val="221E1F"/>
          <w:sz w:val="24"/>
          <w:szCs w:val="24"/>
          <w:lang w:val="en-GB"/>
        </w:rPr>
        <w:t>Conflict of Interest</w:t>
      </w:r>
    </w:p>
    <w:p w:rsidR="004F4E82" w:rsidRPr="00E61652" w:rsidRDefault="004F4E82" w:rsidP="0043791B">
      <w:pPr>
        <w:autoSpaceDE w:val="0"/>
        <w:autoSpaceDN w:val="0"/>
        <w:adjustRightInd w:val="0"/>
        <w:spacing w:line="360" w:lineRule="auto"/>
        <w:ind w:firstLine="720"/>
        <w:jc w:val="both"/>
        <w:rPr>
          <w:rFonts w:ascii="Times New Roman" w:eastAsia="Times New Roman" w:hAnsi="Times New Roman" w:cs="Times New Roman"/>
          <w:sz w:val="24"/>
          <w:szCs w:val="24"/>
          <w:lang w:val="en-GB" w:eastAsia="id-ID"/>
        </w:rPr>
      </w:pPr>
      <w:r w:rsidRPr="00E61652">
        <w:rPr>
          <w:rFonts w:ascii="Times New Roman" w:hAnsi="Times New Roman" w:cs="Times New Roman"/>
          <w:color w:val="221E1F"/>
          <w:sz w:val="24"/>
          <w:szCs w:val="24"/>
          <w:lang w:val="en-GB"/>
        </w:rPr>
        <w:t>The authors affirm no conflict of interest in this study.</w:t>
      </w:r>
    </w:p>
    <w:p w:rsidR="003357F8" w:rsidRDefault="003357F8" w:rsidP="00C41941">
      <w:pPr>
        <w:autoSpaceDE w:val="0"/>
        <w:autoSpaceDN w:val="0"/>
        <w:adjustRightInd w:val="0"/>
        <w:spacing w:line="360" w:lineRule="auto"/>
        <w:ind w:firstLine="720"/>
        <w:jc w:val="both"/>
        <w:rPr>
          <w:rFonts w:ascii="Times New Roman" w:eastAsia="Times New Roman" w:hAnsi="Times New Roman" w:cs="Times New Roman"/>
          <w:sz w:val="24"/>
          <w:szCs w:val="24"/>
          <w:lang w:eastAsia="id-ID"/>
        </w:rPr>
      </w:pPr>
    </w:p>
    <w:p w:rsidR="00474D06" w:rsidRDefault="00474D06" w:rsidP="00C41941">
      <w:pPr>
        <w:autoSpaceDE w:val="0"/>
        <w:autoSpaceDN w:val="0"/>
        <w:adjustRightInd w:val="0"/>
        <w:spacing w:line="360" w:lineRule="auto"/>
        <w:ind w:firstLine="720"/>
        <w:jc w:val="both"/>
        <w:rPr>
          <w:rFonts w:ascii="Times New Roman" w:eastAsia="Times New Roman" w:hAnsi="Times New Roman" w:cs="Times New Roman"/>
          <w:sz w:val="24"/>
          <w:szCs w:val="24"/>
          <w:lang w:eastAsia="id-ID"/>
        </w:rPr>
      </w:pPr>
    </w:p>
    <w:p w:rsidR="00474D06" w:rsidRDefault="00474D06" w:rsidP="00C41941">
      <w:pPr>
        <w:autoSpaceDE w:val="0"/>
        <w:autoSpaceDN w:val="0"/>
        <w:adjustRightInd w:val="0"/>
        <w:spacing w:line="360" w:lineRule="auto"/>
        <w:ind w:firstLine="720"/>
        <w:jc w:val="both"/>
        <w:rPr>
          <w:rFonts w:ascii="Times New Roman" w:eastAsia="Times New Roman" w:hAnsi="Times New Roman" w:cs="Times New Roman"/>
          <w:sz w:val="24"/>
          <w:szCs w:val="24"/>
          <w:lang w:eastAsia="id-ID"/>
        </w:rPr>
      </w:pPr>
    </w:p>
    <w:p w:rsidR="00474D06" w:rsidRDefault="00474D06" w:rsidP="00C41941">
      <w:pPr>
        <w:autoSpaceDE w:val="0"/>
        <w:autoSpaceDN w:val="0"/>
        <w:adjustRightInd w:val="0"/>
        <w:spacing w:line="360" w:lineRule="auto"/>
        <w:ind w:firstLine="720"/>
        <w:jc w:val="both"/>
        <w:rPr>
          <w:rFonts w:ascii="Times New Roman" w:eastAsia="Times New Roman" w:hAnsi="Times New Roman" w:cs="Times New Roman"/>
          <w:sz w:val="24"/>
          <w:szCs w:val="24"/>
          <w:lang w:eastAsia="id-ID"/>
        </w:rPr>
      </w:pPr>
    </w:p>
    <w:p w:rsidR="00474D06" w:rsidRDefault="00474D06" w:rsidP="00C41941">
      <w:pPr>
        <w:autoSpaceDE w:val="0"/>
        <w:autoSpaceDN w:val="0"/>
        <w:adjustRightInd w:val="0"/>
        <w:spacing w:line="360" w:lineRule="auto"/>
        <w:ind w:firstLine="720"/>
        <w:jc w:val="both"/>
        <w:rPr>
          <w:rFonts w:ascii="Times New Roman" w:eastAsia="Times New Roman" w:hAnsi="Times New Roman" w:cs="Times New Roman"/>
          <w:sz w:val="24"/>
          <w:szCs w:val="24"/>
          <w:lang w:eastAsia="id-ID"/>
        </w:rPr>
      </w:pPr>
    </w:p>
    <w:p w:rsidR="00474D06" w:rsidRPr="00474D06" w:rsidRDefault="00474D06" w:rsidP="00C41941">
      <w:pPr>
        <w:autoSpaceDE w:val="0"/>
        <w:autoSpaceDN w:val="0"/>
        <w:adjustRightInd w:val="0"/>
        <w:spacing w:line="360" w:lineRule="auto"/>
        <w:ind w:firstLine="720"/>
        <w:jc w:val="both"/>
        <w:rPr>
          <w:rFonts w:ascii="Times New Roman" w:eastAsia="Times New Roman" w:hAnsi="Times New Roman" w:cs="Times New Roman"/>
          <w:sz w:val="24"/>
          <w:szCs w:val="24"/>
          <w:lang w:eastAsia="id-ID"/>
        </w:rPr>
      </w:pPr>
    </w:p>
    <w:p w:rsidR="00C41941" w:rsidRPr="00E61652" w:rsidRDefault="00C41941" w:rsidP="00FC760C">
      <w:pPr>
        <w:spacing w:line="360" w:lineRule="auto"/>
        <w:rPr>
          <w:rFonts w:ascii="Times New Roman" w:eastAsia="Times New Roman" w:hAnsi="Times New Roman" w:cs="Times New Roman"/>
          <w:b/>
          <w:sz w:val="24"/>
          <w:szCs w:val="24"/>
          <w:lang w:val="en-GB" w:eastAsia="id-ID"/>
        </w:rPr>
      </w:pPr>
      <w:r w:rsidRPr="00E61652">
        <w:rPr>
          <w:rFonts w:ascii="Times New Roman" w:eastAsia="Times New Roman" w:hAnsi="Times New Roman" w:cs="Times New Roman"/>
          <w:b/>
          <w:bCs/>
          <w:sz w:val="24"/>
          <w:szCs w:val="24"/>
          <w:lang w:val="en-GB" w:eastAsia="id-ID"/>
        </w:rPr>
        <w:lastRenderedPageBreak/>
        <w:t>References</w:t>
      </w:r>
    </w:p>
    <w:p w:rsidR="00A53815" w:rsidRPr="00E61652" w:rsidRDefault="00A53815" w:rsidP="0043791B">
      <w:pPr>
        <w:pStyle w:val="ListParagraph"/>
        <w:numPr>
          <w:ilvl w:val="0"/>
          <w:numId w:val="1"/>
        </w:numPr>
        <w:spacing w:line="360" w:lineRule="auto"/>
        <w:jc w:val="both"/>
        <w:rPr>
          <w:rFonts w:ascii="Times New Roman" w:eastAsia="Times New Roman" w:hAnsi="Times New Roman"/>
          <w:sz w:val="24"/>
          <w:szCs w:val="24"/>
          <w:lang w:eastAsia="id-ID"/>
        </w:rPr>
      </w:pPr>
      <w:proofErr w:type="spellStart"/>
      <w:r w:rsidRPr="00E61652">
        <w:rPr>
          <w:rFonts w:ascii="Times New Roman" w:eastAsia="Times New Roman" w:hAnsi="Times New Roman"/>
          <w:sz w:val="24"/>
          <w:szCs w:val="24"/>
          <w:lang w:eastAsia="id-ID"/>
        </w:rPr>
        <w:t>Kuwabara</w:t>
      </w:r>
      <w:proofErr w:type="spellEnd"/>
      <w:r w:rsidRPr="00E61652">
        <w:rPr>
          <w:rFonts w:ascii="Times New Roman" w:eastAsia="Times New Roman" w:hAnsi="Times New Roman"/>
          <w:sz w:val="24"/>
          <w:szCs w:val="24"/>
          <w:lang w:eastAsia="id-ID"/>
        </w:rPr>
        <w:t xml:space="preserve">, Masanari. </w:t>
      </w:r>
      <w:proofErr w:type="spellStart"/>
      <w:r w:rsidRPr="00E61652">
        <w:rPr>
          <w:rFonts w:ascii="Times New Roman" w:eastAsia="Times New Roman" w:hAnsi="Times New Roman"/>
          <w:sz w:val="24"/>
          <w:szCs w:val="24"/>
          <w:lang w:eastAsia="id-ID"/>
        </w:rPr>
        <w:t>Hyperuricemia</w:t>
      </w:r>
      <w:proofErr w:type="spellEnd"/>
      <w:r w:rsidRPr="00E61652">
        <w:rPr>
          <w:rFonts w:ascii="Times New Roman" w:eastAsia="Times New Roman" w:hAnsi="Times New Roman"/>
          <w:sz w:val="24"/>
          <w:szCs w:val="24"/>
          <w:lang w:eastAsia="id-ID"/>
        </w:rPr>
        <w:t>, Cardiovascular Disease and Hypert</w:t>
      </w:r>
      <w:r w:rsidR="000F04F9" w:rsidRPr="00E61652">
        <w:rPr>
          <w:rFonts w:ascii="Times New Roman" w:eastAsia="Times New Roman" w:hAnsi="Times New Roman"/>
          <w:sz w:val="24"/>
          <w:szCs w:val="24"/>
          <w:lang w:eastAsia="id-ID"/>
        </w:rPr>
        <w:t>en</w:t>
      </w:r>
      <w:r w:rsidRPr="00E61652">
        <w:rPr>
          <w:rFonts w:ascii="Times New Roman" w:eastAsia="Times New Roman" w:hAnsi="Times New Roman"/>
          <w:sz w:val="24"/>
          <w:szCs w:val="24"/>
          <w:lang w:eastAsia="id-ID"/>
        </w:rPr>
        <w:t xml:space="preserve">sion. </w:t>
      </w:r>
      <w:r w:rsidR="00FE2249" w:rsidRPr="00E61652">
        <w:rPr>
          <w:rFonts w:ascii="Times New Roman" w:hAnsi="Times New Roman"/>
          <w:i/>
          <w:color w:val="231F20"/>
          <w:sz w:val="24"/>
          <w:szCs w:val="24"/>
          <w:lang w:val="en-GB"/>
        </w:rPr>
        <w:t>Pulse</w:t>
      </w:r>
      <w:r w:rsidR="00FE2249" w:rsidRPr="00E61652">
        <w:rPr>
          <w:rFonts w:ascii="Times New Roman" w:hAnsi="Times New Roman"/>
          <w:color w:val="231F20"/>
          <w:sz w:val="24"/>
          <w:szCs w:val="24"/>
          <w:lang w:val="en-GB"/>
        </w:rPr>
        <w:t xml:space="preserve"> 2015</w:t>
      </w:r>
      <w:proofErr w:type="gramStart"/>
      <w:r w:rsidR="00FE2249" w:rsidRPr="00E61652">
        <w:rPr>
          <w:rFonts w:ascii="Times New Roman" w:hAnsi="Times New Roman"/>
          <w:color w:val="231F20"/>
          <w:sz w:val="24"/>
          <w:szCs w:val="24"/>
          <w:lang w:val="en-GB"/>
        </w:rPr>
        <w:t>;3:242</w:t>
      </w:r>
      <w:proofErr w:type="gramEnd"/>
      <w:r w:rsidR="00FE2249" w:rsidRPr="00E61652">
        <w:rPr>
          <w:rFonts w:ascii="Times New Roman" w:hAnsi="Times New Roman"/>
          <w:color w:val="231F20"/>
          <w:sz w:val="24"/>
          <w:szCs w:val="24"/>
          <w:lang w:val="en-GB"/>
        </w:rPr>
        <w:t xml:space="preserve">–252.DOI: 10.1159/000443769. </w:t>
      </w:r>
      <w:proofErr w:type="spellStart"/>
      <w:r w:rsidR="00FE2249" w:rsidRPr="00E61652">
        <w:rPr>
          <w:rFonts w:ascii="Times New Roman" w:hAnsi="Times New Roman"/>
          <w:color w:val="231F20"/>
          <w:sz w:val="24"/>
          <w:szCs w:val="24"/>
          <w:lang w:val="en-GB"/>
        </w:rPr>
        <w:t>Karger</w:t>
      </w:r>
      <w:proofErr w:type="spellEnd"/>
      <w:r w:rsidR="00FE2249" w:rsidRPr="00E61652">
        <w:rPr>
          <w:rFonts w:ascii="Times New Roman" w:hAnsi="Times New Roman"/>
          <w:color w:val="231F20"/>
          <w:sz w:val="24"/>
          <w:szCs w:val="24"/>
          <w:lang w:val="en-GB"/>
        </w:rPr>
        <w:t>, Basel. 2015</w:t>
      </w:r>
    </w:p>
    <w:p w:rsidR="00C41941" w:rsidRPr="00E61652" w:rsidRDefault="00C41941" w:rsidP="0043791B">
      <w:pPr>
        <w:pStyle w:val="ListParagraph"/>
        <w:numPr>
          <w:ilvl w:val="0"/>
          <w:numId w:val="1"/>
        </w:numPr>
        <w:spacing w:line="360" w:lineRule="auto"/>
        <w:jc w:val="both"/>
        <w:rPr>
          <w:rFonts w:ascii="Times New Roman" w:eastAsia="Times New Roman" w:hAnsi="Times New Roman"/>
          <w:sz w:val="24"/>
          <w:szCs w:val="24"/>
          <w:lang w:eastAsia="id-ID"/>
        </w:rPr>
      </w:pPr>
      <w:proofErr w:type="spellStart"/>
      <w:r w:rsidRPr="00E61652">
        <w:rPr>
          <w:rFonts w:ascii="Times New Roman" w:eastAsia="Times New Roman" w:hAnsi="Times New Roman"/>
          <w:sz w:val="24"/>
          <w:szCs w:val="24"/>
          <w:lang w:eastAsia="id-ID"/>
        </w:rPr>
        <w:t>Hensen</w:t>
      </w:r>
      <w:proofErr w:type="spellEnd"/>
      <w:r w:rsidRPr="00E61652">
        <w:rPr>
          <w:rFonts w:ascii="Times New Roman" w:eastAsia="Times New Roman" w:hAnsi="Times New Roman"/>
          <w:sz w:val="24"/>
          <w:szCs w:val="24"/>
          <w:lang w:eastAsia="id-ID"/>
        </w:rPr>
        <w:t xml:space="preserve"> and </w:t>
      </w:r>
      <w:proofErr w:type="spellStart"/>
      <w:r w:rsidRPr="00E61652">
        <w:rPr>
          <w:rFonts w:ascii="Times New Roman" w:eastAsia="Times New Roman" w:hAnsi="Times New Roman"/>
          <w:sz w:val="24"/>
          <w:szCs w:val="24"/>
          <w:lang w:eastAsia="id-ID"/>
        </w:rPr>
        <w:t>Tjokorda</w:t>
      </w:r>
      <w:proofErr w:type="spellEnd"/>
      <w:r w:rsidRPr="00E61652">
        <w:rPr>
          <w:rFonts w:ascii="Times New Roman" w:eastAsia="Times New Roman" w:hAnsi="Times New Roman"/>
          <w:sz w:val="24"/>
          <w:szCs w:val="24"/>
          <w:lang w:eastAsia="id-ID"/>
        </w:rPr>
        <w:t xml:space="preserve"> R. 2007. </w:t>
      </w:r>
      <w:r w:rsidRPr="00E61652">
        <w:rPr>
          <w:rFonts w:ascii="Times New Roman" w:eastAsia="Times New Roman" w:hAnsi="Times New Roman"/>
          <w:i/>
          <w:iCs/>
          <w:sz w:val="24"/>
          <w:szCs w:val="24"/>
          <w:lang w:eastAsia="id-ID"/>
        </w:rPr>
        <w:t xml:space="preserve">Relations consumption </w:t>
      </w:r>
      <w:proofErr w:type="spellStart"/>
      <w:r w:rsidRPr="00E61652">
        <w:rPr>
          <w:rFonts w:ascii="Times New Roman" w:eastAsia="Times New Roman" w:hAnsi="Times New Roman"/>
          <w:i/>
          <w:iCs/>
          <w:sz w:val="24"/>
          <w:szCs w:val="24"/>
          <w:lang w:eastAsia="id-ID"/>
        </w:rPr>
        <w:t>Purin</w:t>
      </w:r>
      <w:proofErr w:type="spellEnd"/>
      <w:r w:rsidRPr="00E61652">
        <w:rPr>
          <w:rFonts w:ascii="Times New Roman" w:eastAsia="Times New Roman" w:hAnsi="Times New Roman"/>
          <w:i/>
          <w:iCs/>
          <w:sz w:val="24"/>
          <w:szCs w:val="24"/>
          <w:lang w:eastAsia="id-ID"/>
        </w:rPr>
        <w:t xml:space="preserve"> with </w:t>
      </w:r>
      <w:proofErr w:type="spellStart"/>
      <w:r w:rsidRPr="00E61652">
        <w:rPr>
          <w:rFonts w:ascii="Times New Roman" w:eastAsia="Times New Roman" w:hAnsi="Times New Roman"/>
          <w:i/>
          <w:iCs/>
          <w:sz w:val="24"/>
          <w:szCs w:val="24"/>
          <w:lang w:eastAsia="id-ID"/>
        </w:rPr>
        <w:t>Hipersemia</w:t>
      </w:r>
      <w:proofErr w:type="spellEnd"/>
      <w:r w:rsidRPr="00E61652">
        <w:rPr>
          <w:rFonts w:ascii="Times New Roman" w:eastAsia="Times New Roman" w:hAnsi="Times New Roman"/>
          <w:i/>
          <w:iCs/>
          <w:sz w:val="24"/>
          <w:szCs w:val="24"/>
          <w:lang w:eastAsia="id-ID"/>
        </w:rPr>
        <w:t xml:space="preserve"> </w:t>
      </w:r>
      <w:proofErr w:type="gramStart"/>
      <w:r w:rsidRPr="00E61652">
        <w:rPr>
          <w:rFonts w:ascii="Times New Roman" w:eastAsia="Times New Roman" w:hAnsi="Times New Roman"/>
          <w:i/>
          <w:iCs/>
          <w:sz w:val="24"/>
          <w:szCs w:val="24"/>
          <w:lang w:eastAsia="id-ID"/>
        </w:rPr>
        <w:t>In</w:t>
      </w:r>
      <w:proofErr w:type="gramEnd"/>
      <w:r w:rsidRPr="00E61652">
        <w:rPr>
          <w:rFonts w:ascii="Times New Roman" w:eastAsia="Times New Roman" w:hAnsi="Times New Roman"/>
          <w:i/>
          <w:iCs/>
          <w:sz w:val="24"/>
          <w:szCs w:val="24"/>
          <w:lang w:eastAsia="id-ID"/>
        </w:rPr>
        <w:t xml:space="preserve"> Bali tribe in the area of Rural Tourism.</w:t>
      </w:r>
      <w:r w:rsidRPr="00E61652">
        <w:rPr>
          <w:rFonts w:ascii="Times New Roman" w:eastAsia="Times New Roman" w:hAnsi="Times New Roman"/>
          <w:sz w:val="24"/>
          <w:szCs w:val="24"/>
          <w:lang w:eastAsia="id-ID"/>
        </w:rPr>
        <w:t> http://ejournal.unud.ac.id/abstrak/4% 282% 29.pdf. </w:t>
      </w:r>
      <w:proofErr w:type="gramStart"/>
      <w:r w:rsidRPr="00E61652">
        <w:rPr>
          <w:rFonts w:ascii="Times New Roman" w:eastAsia="Times New Roman" w:hAnsi="Times New Roman"/>
          <w:sz w:val="24"/>
          <w:szCs w:val="24"/>
          <w:lang w:eastAsia="id-ID"/>
        </w:rPr>
        <w:t>accessed</w:t>
      </w:r>
      <w:proofErr w:type="gramEnd"/>
      <w:r w:rsidRPr="00E61652">
        <w:rPr>
          <w:rFonts w:ascii="Times New Roman" w:eastAsia="Times New Roman" w:hAnsi="Times New Roman"/>
          <w:sz w:val="24"/>
          <w:szCs w:val="24"/>
          <w:lang w:eastAsia="id-ID"/>
        </w:rPr>
        <w:t xml:space="preserve"> on March 17, 2011.</w:t>
      </w:r>
    </w:p>
    <w:p w:rsidR="00C41941" w:rsidRPr="00E61652" w:rsidRDefault="00C41941" w:rsidP="0043791B">
      <w:pPr>
        <w:pStyle w:val="ListParagraph"/>
        <w:numPr>
          <w:ilvl w:val="0"/>
          <w:numId w:val="1"/>
        </w:numPr>
        <w:spacing w:line="360" w:lineRule="auto"/>
        <w:jc w:val="both"/>
        <w:rPr>
          <w:rFonts w:ascii="Times New Roman" w:hAnsi="Times New Roman"/>
          <w:sz w:val="24"/>
          <w:szCs w:val="24"/>
        </w:rPr>
      </w:pPr>
      <w:r w:rsidRPr="00E61652">
        <w:rPr>
          <w:rFonts w:ascii="Times New Roman" w:eastAsia="Times New Roman" w:hAnsi="Times New Roman"/>
          <w:sz w:val="24"/>
          <w:szCs w:val="24"/>
          <w:lang w:eastAsia="id-ID"/>
        </w:rPr>
        <w:t xml:space="preserve">Sylvia, Anderson, et al, </w:t>
      </w:r>
      <w:proofErr w:type="spellStart"/>
      <w:r w:rsidR="003A279B" w:rsidRPr="00E61652">
        <w:rPr>
          <w:rFonts w:ascii="Times New Roman" w:eastAsia="Times New Roman" w:hAnsi="Times New Roman"/>
          <w:i/>
          <w:iCs/>
          <w:sz w:val="24"/>
          <w:szCs w:val="24"/>
          <w:lang w:eastAsia="id-ID"/>
        </w:rPr>
        <w:t>Patofisiologi</w:t>
      </w:r>
      <w:proofErr w:type="spellEnd"/>
      <w:r w:rsidR="003A279B" w:rsidRPr="00E61652">
        <w:rPr>
          <w:rFonts w:ascii="Times New Roman" w:eastAsia="Times New Roman" w:hAnsi="Times New Roman"/>
          <w:i/>
          <w:iCs/>
          <w:sz w:val="24"/>
          <w:szCs w:val="24"/>
          <w:lang w:eastAsia="id-ID"/>
        </w:rPr>
        <w:t xml:space="preserve"> </w:t>
      </w:r>
      <w:proofErr w:type="spellStart"/>
      <w:r w:rsidR="003A279B" w:rsidRPr="00E61652">
        <w:rPr>
          <w:rFonts w:ascii="Times New Roman" w:eastAsia="Times New Roman" w:hAnsi="Times New Roman"/>
          <w:i/>
          <w:iCs/>
          <w:sz w:val="24"/>
          <w:szCs w:val="24"/>
          <w:lang w:eastAsia="id-ID"/>
        </w:rPr>
        <w:t>Konsep</w:t>
      </w:r>
      <w:proofErr w:type="spellEnd"/>
      <w:r w:rsidR="003A279B" w:rsidRPr="00E61652">
        <w:rPr>
          <w:rFonts w:ascii="Times New Roman" w:eastAsia="Times New Roman" w:hAnsi="Times New Roman"/>
          <w:i/>
          <w:iCs/>
          <w:sz w:val="24"/>
          <w:szCs w:val="24"/>
          <w:lang w:eastAsia="id-ID"/>
        </w:rPr>
        <w:t xml:space="preserve"> </w:t>
      </w:r>
      <w:proofErr w:type="spellStart"/>
      <w:r w:rsidR="003A279B" w:rsidRPr="00E61652">
        <w:rPr>
          <w:rFonts w:ascii="Times New Roman" w:eastAsia="Times New Roman" w:hAnsi="Times New Roman"/>
          <w:i/>
          <w:iCs/>
          <w:sz w:val="24"/>
          <w:szCs w:val="24"/>
          <w:lang w:eastAsia="id-ID"/>
        </w:rPr>
        <w:t>Klinis</w:t>
      </w:r>
      <w:proofErr w:type="spellEnd"/>
      <w:r w:rsidR="003A279B" w:rsidRPr="00E61652">
        <w:rPr>
          <w:rFonts w:ascii="Times New Roman" w:eastAsia="Times New Roman" w:hAnsi="Times New Roman"/>
          <w:i/>
          <w:iCs/>
          <w:sz w:val="24"/>
          <w:szCs w:val="24"/>
          <w:lang w:eastAsia="id-ID"/>
        </w:rPr>
        <w:t xml:space="preserve"> </w:t>
      </w:r>
      <w:proofErr w:type="spellStart"/>
      <w:r w:rsidR="003A279B" w:rsidRPr="00E61652">
        <w:rPr>
          <w:rFonts w:ascii="Times New Roman" w:eastAsia="Times New Roman" w:hAnsi="Times New Roman"/>
          <w:i/>
          <w:iCs/>
          <w:sz w:val="24"/>
          <w:szCs w:val="24"/>
          <w:lang w:eastAsia="id-ID"/>
        </w:rPr>
        <w:t>Proses-Proses</w:t>
      </w:r>
      <w:proofErr w:type="spellEnd"/>
      <w:r w:rsidR="003A279B" w:rsidRPr="00E61652">
        <w:rPr>
          <w:rFonts w:ascii="Times New Roman" w:eastAsia="Times New Roman" w:hAnsi="Times New Roman"/>
          <w:i/>
          <w:iCs/>
          <w:sz w:val="24"/>
          <w:szCs w:val="24"/>
          <w:lang w:eastAsia="id-ID"/>
        </w:rPr>
        <w:t xml:space="preserve"> </w:t>
      </w:r>
      <w:proofErr w:type="spellStart"/>
      <w:r w:rsidR="003A279B" w:rsidRPr="00E61652">
        <w:rPr>
          <w:rFonts w:ascii="Times New Roman" w:eastAsia="Times New Roman" w:hAnsi="Times New Roman"/>
          <w:i/>
          <w:iCs/>
          <w:sz w:val="24"/>
          <w:szCs w:val="24"/>
          <w:lang w:eastAsia="id-ID"/>
        </w:rPr>
        <w:t>Penyakit</w:t>
      </w:r>
      <w:proofErr w:type="spellEnd"/>
      <w:r w:rsidR="003A279B" w:rsidRPr="00E61652">
        <w:rPr>
          <w:rFonts w:ascii="Times New Roman" w:eastAsia="Times New Roman" w:hAnsi="Times New Roman"/>
          <w:i/>
          <w:iCs/>
          <w:sz w:val="24"/>
          <w:szCs w:val="24"/>
          <w:lang w:eastAsia="id-ID"/>
        </w:rPr>
        <w:t>.</w:t>
      </w:r>
      <w:r w:rsidR="003A279B" w:rsidRPr="00E61652">
        <w:rPr>
          <w:rFonts w:ascii="Times New Roman" w:eastAsia="Times New Roman" w:hAnsi="Times New Roman"/>
          <w:sz w:val="24"/>
          <w:szCs w:val="24"/>
          <w:lang w:eastAsia="id-ID"/>
        </w:rPr>
        <w:t> ECG.</w:t>
      </w:r>
      <w:r w:rsidRPr="00E61652">
        <w:rPr>
          <w:rFonts w:ascii="Times New Roman" w:eastAsia="Times New Roman" w:hAnsi="Times New Roman"/>
          <w:sz w:val="24"/>
          <w:szCs w:val="24"/>
          <w:lang w:eastAsia="id-ID"/>
        </w:rPr>
        <w:t xml:space="preserve"> Jakarta. 2006 </w:t>
      </w:r>
    </w:p>
    <w:p w:rsidR="00C41941" w:rsidRPr="00E61652" w:rsidRDefault="00C41941" w:rsidP="0043791B">
      <w:pPr>
        <w:pStyle w:val="ListParagraph"/>
        <w:numPr>
          <w:ilvl w:val="0"/>
          <w:numId w:val="1"/>
        </w:numPr>
        <w:spacing w:line="360" w:lineRule="auto"/>
        <w:jc w:val="both"/>
        <w:rPr>
          <w:rFonts w:ascii="Times New Roman" w:hAnsi="Times New Roman"/>
          <w:sz w:val="24"/>
          <w:szCs w:val="24"/>
        </w:rPr>
      </w:pPr>
      <w:proofErr w:type="spellStart"/>
      <w:r w:rsidRPr="00E61652">
        <w:rPr>
          <w:rFonts w:ascii="Times New Roman" w:hAnsi="Times New Roman"/>
          <w:iCs/>
          <w:sz w:val="24"/>
          <w:szCs w:val="24"/>
        </w:rPr>
        <w:t>Poletto</w:t>
      </w:r>
      <w:proofErr w:type="spellEnd"/>
      <w:r w:rsidRPr="00E61652">
        <w:rPr>
          <w:rFonts w:ascii="Times New Roman" w:hAnsi="Times New Roman"/>
          <w:iCs/>
          <w:sz w:val="24"/>
          <w:szCs w:val="24"/>
        </w:rPr>
        <w:t xml:space="preserve"> Juliana, Helena </w:t>
      </w:r>
      <w:proofErr w:type="spellStart"/>
      <w:r w:rsidRPr="00E61652">
        <w:rPr>
          <w:rFonts w:ascii="Times New Roman" w:hAnsi="Times New Roman"/>
          <w:iCs/>
          <w:sz w:val="24"/>
          <w:szCs w:val="24"/>
        </w:rPr>
        <w:t>Aiko</w:t>
      </w:r>
      <w:proofErr w:type="spellEnd"/>
      <w:r w:rsidRPr="00E61652">
        <w:rPr>
          <w:rFonts w:ascii="Times New Roman" w:hAnsi="Times New Roman"/>
          <w:iCs/>
          <w:sz w:val="24"/>
          <w:szCs w:val="24"/>
        </w:rPr>
        <w:t xml:space="preserve"> </w:t>
      </w:r>
      <w:proofErr w:type="spellStart"/>
      <w:r w:rsidRPr="00E61652">
        <w:rPr>
          <w:rFonts w:ascii="Times New Roman" w:hAnsi="Times New Roman"/>
          <w:iCs/>
          <w:sz w:val="24"/>
          <w:szCs w:val="24"/>
        </w:rPr>
        <w:t>Harim</w:t>
      </w:r>
      <w:proofErr w:type="spellEnd"/>
      <w:r w:rsidRPr="00E61652">
        <w:rPr>
          <w:rFonts w:ascii="Times New Roman" w:hAnsi="Times New Roman"/>
          <w:iCs/>
          <w:sz w:val="24"/>
          <w:szCs w:val="24"/>
        </w:rPr>
        <w:t xml:space="preserve">, Sandra Roberta </w:t>
      </w:r>
      <w:proofErr w:type="spellStart"/>
      <w:r w:rsidRPr="00E61652">
        <w:rPr>
          <w:rFonts w:ascii="Times New Roman" w:hAnsi="Times New Roman"/>
          <w:iCs/>
          <w:sz w:val="24"/>
          <w:szCs w:val="24"/>
        </w:rPr>
        <w:t>Gouvea</w:t>
      </w:r>
      <w:proofErr w:type="spellEnd"/>
      <w:r w:rsidRPr="00E61652">
        <w:rPr>
          <w:rFonts w:ascii="Times New Roman" w:hAnsi="Times New Roman"/>
          <w:iCs/>
          <w:sz w:val="24"/>
          <w:szCs w:val="24"/>
        </w:rPr>
        <w:t xml:space="preserve"> Ferreira, </w:t>
      </w:r>
      <w:proofErr w:type="spellStart"/>
      <w:r w:rsidRPr="00E61652">
        <w:rPr>
          <w:rFonts w:ascii="Times New Roman" w:hAnsi="Times New Roman"/>
          <w:iCs/>
          <w:sz w:val="24"/>
          <w:szCs w:val="24"/>
        </w:rPr>
        <w:t>Suely</w:t>
      </w:r>
      <w:proofErr w:type="spellEnd"/>
      <w:r w:rsidRPr="00E61652">
        <w:rPr>
          <w:rFonts w:ascii="Times New Roman" w:hAnsi="Times New Roman"/>
          <w:iCs/>
          <w:sz w:val="24"/>
          <w:szCs w:val="24"/>
        </w:rPr>
        <w:t xml:space="preserve"> Godoy </w:t>
      </w:r>
      <w:proofErr w:type="spellStart"/>
      <w:r w:rsidRPr="00E61652">
        <w:rPr>
          <w:rFonts w:ascii="Times New Roman" w:hAnsi="Times New Roman"/>
          <w:iCs/>
          <w:sz w:val="24"/>
          <w:szCs w:val="24"/>
        </w:rPr>
        <w:t>Agostinho</w:t>
      </w:r>
      <w:proofErr w:type="spellEnd"/>
      <w:r w:rsidRPr="00E61652">
        <w:rPr>
          <w:rFonts w:ascii="Times New Roman" w:hAnsi="Times New Roman"/>
          <w:iCs/>
          <w:sz w:val="24"/>
          <w:szCs w:val="24"/>
        </w:rPr>
        <w:t xml:space="preserve"> </w:t>
      </w:r>
      <w:proofErr w:type="spellStart"/>
      <w:r w:rsidRPr="00E61652">
        <w:rPr>
          <w:rFonts w:ascii="Times New Roman" w:hAnsi="Times New Roman"/>
          <w:iCs/>
          <w:sz w:val="24"/>
          <w:szCs w:val="24"/>
        </w:rPr>
        <w:t>Gimeno</w:t>
      </w:r>
      <w:proofErr w:type="spellEnd"/>
      <w:r w:rsidRPr="00E61652">
        <w:rPr>
          <w:rFonts w:ascii="Times New Roman" w:hAnsi="Times New Roman"/>
          <w:iCs/>
          <w:sz w:val="24"/>
          <w:szCs w:val="24"/>
        </w:rPr>
        <w:t xml:space="preserve">. </w:t>
      </w:r>
      <w:proofErr w:type="spellStart"/>
      <w:r w:rsidRPr="00E61652">
        <w:rPr>
          <w:rFonts w:ascii="Times New Roman" w:hAnsi="Times New Roman"/>
          <w:sz w:val="24"/>
          <w:szCs w:val="24"/>
        </w:rPr>
        <w:t>Hyperuricemia</w:t>
      </w:r>
      <w:proofErr w:type="spellEnd"/>
      <w:r w:rsidRPr="00E61652">
        <w:rPr>
          <w:rFonts w:ascii="Times New Roman" w:hAnsi="Times New Roman"/>
          <w:sz w:val="24"/>
          <w:szCs w:val="24"/>
        </w:rPr>
        <w:t xml:space="preserve"> and associated factors: a </w:t>
      </w:r>
      <w:proofErr w:type="spellStart"/>
      <w:r w:rsidRPr="00E61652">
        <w:rPr>
          <w:rFonts w:ascii="Times New Roman" w:hAnsi="Times New Roman"/>
          <w:sz w:val="24"/>
          <w:szCs w:val="24"/>
        </w:rPr>
        <w:t>crosssectional</w:t>
      </w:r>
      <w:proofErr w:type="spellEnd"/>
      <w:r w:rsidRPr="00E61652">
        <w:rPr>
          <w:rFonts w:ascii="Times New Roman" w:hAnsi="Times New Roman"/>
          <w:sz w:val="24"/>
          <w:szCs w:val="24"/>
        </w:rPr>
        <w:t xml:space="preserve"> study of Japanese-Brazilians. </w:t>
      </w:r>
      <w:r w:rsidRPr="00E61652">
        <w:rPr>
          <w:rFonts w:ascii="Times New Roman" w:hAnsi="Times New Roman"/>
          <w:i/>
          <w:sz w:val="24"/>
          <w:szCs w:val="24"/>
        </w:rPr>
        <w:t xml:space="preserve">Cad. </w:t>
      </w:r>
      <w:proofErr w:type="spellStart"/>
      <w:r w:rsidRPr="00E61652">
        <w:rPr>
          <w:rFonts w:ascii="Times New Roman" w:hAnsi="Times New Roman"/>
          <w:i/>
          <w:sz w:val="24"/>
          <w:szCs w:val="24"/>
        </w:rPr>
        <w:t>Saúde</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Pública</w:t>
      </w:r>
      <w:proofErr w:type="spellEnd"/>
      <w:r w:rsidRPr="00E61652">
        <w:rPr>
          <w:rFonts w:ascii="Times New Roman" w:hAnsi="Times New Roman"/>
          <w:i/>
          <w:sz w:val="24"/>
          <w:szCs w:val="24"/>
        </w:rPr>
        <w:t>, Rio de Janeiro</w:t>
      </w:r>
      <w:r w:rsidRPr="00E61652">
        <w:rPr>
          <w:rFonts w:ascii="Times New Roman" w:hAnsi="Times New Roman"/>
          <w:sz w:val="24"/>
          <w:szCs w:val="24"/>
        </w:rPr>
        <w:t xml:space="preserve">, 27(2):369-378, </w:t>
      </w:r>
      <w:proofErr w:type="spellStart"/>
      <w:r w:rsidRPr="00E61652">
        <w:rPr>
          <w:rFonts w:ascii="Times New Roman" w:hAnsi="Times New Roman"/>
          <w:sz w:val="24"/>
          <w:szCs w:val="24"/>
        </w:rPr>
        <w:t>fev</w:t>
      </w:r>
      <w:proofErr w:type="spellEnd"/>
      <w:r w:rsidRPr="00E61652">
        <w:rPr>
          <w:rFonts w:ascii="Times New Roman" w:hAnsi="Times New Roman"/>
          <w:sz w:val="24"/>
          <w:szCs w:val="24"/>
        </w:rPr>
        <w:t xml:space="preserve">, 2011. http://dx.doi.org/10.1590/S0102-311X2011000200018  </w:t>
      </w:r>
    </w:p>
    <w:p w:rsidR="00C41941" w:rsidRPr="00E61652" w:rsidRDefault="00C41941" w:rsidP="0043791B">
      <w:pPr>
        <w:pStyle w:val="ListParagraph"/>
        <w:numPr>
          <w:ilvl w:val="0"/>
          <w:numId w:val="1"/>
        </w:numPr>
        <w:spacing w:line="360" w:lineRule="auto"/>
        <w:jc w:val="both"/>
        <w:rPr>
          <w:rFonts w:ascii="Times New Roman" w:eastAsia="Times New Roman" w:hAnsi="Times New Roman"/>
          <w:sz w:val="24"/>
          <w:szCs w:val="24"/>
          <w:lang w:eastAsia="id-ID"/>
        </w:rPr>
      </w:pPr>
      <w:r w:rsidRPr="00E61652">
        <w:rPr>
          <w:rFonts w:ascii="Times New Roman" w:eastAsia="Times New Roman" w:hAnsi="Times New Roman"/>
          <w:sz w:val="24"/>
          <w:szCs w:val="24"/>
          <w:lang w:eastAsia="id-ID"/>
        </w:rPr>
        <w:t>Precise Nucleus Edition News Letter-1). Uric acid or Gout.www.mirbrokers.com / ... / Newsletter% 2070% 201% 20Edisi% 20 -% 20Asam% 20Urat% 20310120111.pdf. Accessed on 13 March 2014.</w:t>
      </w:r>
    </w:p>
    <w:p w:rsidR="00C41941" w:rsidRPr="00E61652" w:rsidRDefault="003A279B" w:rsidP="0043791B">
      <w:pPr>
        <w:pStyle w:val="ListParagraph"/>
        <w:numPr>
          <w:ilvl w:val="0"/>
          <w:numId w:val="1"/>
        </w:numPr>
        <w:spacing w:line="360" w:lineRule="auto"/>
        <w:jc w:val="both"/>
        <w:rPr>
          <w:rFonts w:ascii="Times New Roman" w:eastAsia="Times New Roman" w:hAnsi="Times New Roman"/>
          <w:sz w:val="24"/>
          <w:szCs w:val="24"/>
          <w:lang w:eastAsia="id-ID"/>
        </w:rPr>
      </w:pPr>
      <w:proofErr w:type="spellStart"/>
      <w:r w:rsidRPr="00E61652">
        <w:rPr>
          <w:rFonts w:ascii="Times New Roman" w:hAnsi="Times New Roman"/>
          <w:sz w:val="24"/>
          <w:szCs w:val="24"/>
          <w:lang w:val="en-GB"/>
        </w:rPr>
        <w:t>Kurniari</w:t>
      </w:r>
      <w:r w:rsidR="00C41941" w:rsidRPr="00E61652">
        <w:rPr>
          <w:rFonts w:ascii="Times New Roman" w:hAnsi="Times New Roman"/>
          <w:sz w:val="24"/>
          <w:szCs w:val="24"/>
          <w:lang w:val="en-GB"/>
        </w:rPr>
        <w:t>Pande</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Ketut</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Gde</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Kambayana</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Tjokorda</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Raka</w:t>
      </w:r>
      <w:proofErr w:type="spellEnd"/>
      <w:r w:rsidR="00C41941" w:rsidRPr="00E61652">
        <w:rPr>
          <w:rFonts w:ascii="Times New Roman" w:hAnsi="Times New Roman"/>
          <w:sz w:val="24"/>
          <w:szCs w:val="24"/>
          <w:lang w:val="en-GB"/>
        </w:rPr>
        <w:t xml:space="preserve"> Putra. </w:t>
      </w:r>
      <w:proofErr w:type="spellStart"/>
      <w:r w:rsidR="00C41941" w:rsidRPr="00E61652">
        <w:rPr>
          <w:rFonts w:ascii="Times New Roman" w:hAnsi="Times New Roman"/>
          <w:sz w:val="24"/>
          <w:szCs w:val="24"/>
          <w:lang w:val="en-GB"/>
        </w:rPr>
        <w:t>Hubungan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Hiperurisemia</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dan</w:t>
      </w:r>
      <w:proofErr w:type="spellEnd"/>
      <w:r w:rsidR="00C41941" w:rsidRPr="00E61652">
        <w:rPr>
          <w:rFonts w:ascii="Times New Roman" w:hAnsi="Times New Roman"/>
          <w:sz w:val="24"/>
          <w:szCs w:val="24"/>
          <w:lang w:val="en-GB"/>
        </w:rPr>
        <w:t xml:space="preserve"> </w:t>
      </w:r>
      <w:r w:rsidR="00C41941" w:rsidRPr="00E61652">
        <w:rPr>
          <w:rFonts w:ascii="Times New Roman" w:hAnsi="Times New Roman"/>
          <w:i/>
          <w:iCs/>
          <w:sz w:val="24"/>
          <w:szCs w:val="24"/>
          <w:lang w:val="en-GB"/>
        </w:rPr>
        <w:t xml:space="preserve">Fraction Uric Acid Clearance </w:t>
      </w:r>
      <w:proofErr w:type="spellStart"/>
      <w:r w:rsidR="00C41941" w:rsidRPr="00E61652">
        <w:rPr>
          <w:rFonts w:ascii="Times New Roman" w:hAnsi="Times New Roman"/>
          <w:sz w:val="24"/>
          <w:szCs w:val="24"/>
          <w:lang w:val="en-GB"/>
        </w:rPr>
        <w:t>di</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Desa</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Tenganan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Pegringsingan</w:t>
      </w:r>
      <w:proofErr w:type="spellEnd"/>
      <w:r w:rsidR="00C41941" w:rsidRPr="00E61652">
        <w:rPr>
          <w:rFonts w:ascii="Times New Roman" w:hAnsi="Times New Roman"/>
          <w:sz w:val="24"/>
          <w:szCs w:val="24"/>
          <w:lang w:val="en-GB"/>
        </w:rPr>
        <w:t xml:space="preserve"> </w:t>
      </w:r>
      <w:proofErr w:type="spellStart"/>
      <w:r w:rsidR="00C41941" w:rsidRPr="00E61652">
        <w:rPr>
          <w:rFonts w:ascii="Times New Roman" w:hAnsi="Times New Roman"/>
          <w:sz w:val="24"/>
          <w:szCs w:val="24"/>
          <w:lang w:val="en-GB"/>
        </w:rPr>
        <w:t>Karangasem</w:t>
      </w:r>
      <w:proofErr w:type="spellEnd"/>
      <w:r w:rsidR="00C41941" w:rsidRPr="00E61652">
        <w:rPr>
          <w:rFonts w:ascii="Times New Roman" w:hAnsi="Times New Roman"/>
          <w:sz w:val="24"/>
          <w:szCs w:val="24"/>
          <w:lang w:val="en-GB"/>
        </w:rPr>
        <w:t xml:space="preserve"> Bali. </w:t>
      </w:r>
      <w:r w:rsidR="00C41941" w:rsidRPr="00E61652">
        <w:rPr>
          <w:rFonts w:ascii="Times New Roman" w:hAnsi="Times New Roman"/>
          <w:i/>
          <w:iCs/>
          <w:sz w:val="24"/>
          <w:szCs w:val="24"/>
          <w:lang w:val="en-GB"/>
        </w:rPr>
        <w:t xml:space="preserve">J </w:t>
      </w:r>
      <w:proofErr w:type="spellStart"/>
      <w:r w:rsidR="00C41941" w:rsidRPr="00E61652">
        <w:rPr>
          <w:rFonts w:ascii="Times New Roman" w:hAnsi="Times New Roman"/>
          <w:i/>
          <w:iCs/>
          <w:sz w:val="24"/>
          <w:szCs w:val="24"/>
          <w:lang w:val="en-GB"/>
        </w:rPr>
        <w:t>Peny</w:t>
      </w:r>
      <w:proofErr w:type="spellEnd"/>
      <w:r w:rsidR="00C41941" w:rsidRPr="00E61652">
        <w:rPr>
          <w:rFonts w:ascii="Times New Roman" w:hAnsi="Times New Roman"/>
          <w:i/>
          <w:iCs/>
          <w:sz w:val="24"/>
          <w:szCs w:val="24"/>
          <w:lang w:val="en-GB"/>
        </w:rPr>
        <w:t xml:space="preserve"> </w:t>
      </w:r>
      <w:proofErr w:type="spellStart"/>
      <w:r w:rsidR="00C41941" w:rsidRPr="00E61652">
        <w:rPr>
          <w:rFonts w:ascii="Times New Roman" w:hAnsi="Times New Roman"/>
          <w:i/>
          <w:iCs/>
          <w:sz w:val="24"/>
          <w:szCs w:val="24"/>
          <w:lang w:val="en-GB"/>
        </w:rPr>
        <w:t>Dalam</w:t>
      </w:r>
      <w:proofErr w:type="spellEnd"/>
      <w:r w:rsidR="00C41941" w:rsidRPr="00E61652">
        <w:rPr>
          <w:rFonts w:ascii="Times New Roman" w:hAnsi="Times New Roman"/>
          <w:i/>
          <w:iCs/>
          <w:sz w:val="24"/>
          <w:szCs w:val="24"/>
          <w:lang w:val="en-GB"/>
        </w:rPr>
        <w:t xml:space="preserve">, Volume 12 </w:t>
      </w:r>
      <w:proofErr w:type="spellStart"/>
      <w:r w:rsidR="00C41941" w:rsidRPr="00E61652">
        <w:rPr>
          <w:rFonts w:ascii="Times New Roman" w:hAnsi="Times New Roman"/>
          <w:i/>
          <w:iCs/>
          <w:sz w:val="24"/>
          <w:szCs w:val="24"/>
          <w:lang w:val="en-GB"/>
        </w:rPr>
        <w:t>Nomor</w:t>
      </w:r>
      <w:proofErr w:type="spellEnd"/>
      <w:r w:rsidR="00C41941" w:rsidRPr="00E61652">
        <w:rPr>
          <w:rFonts w:ascii="Times New Roman" w:hAnsi="Times New Roman"/>
          <w:i/>
          <w:iCs/>
          <w:sz w:val="24"/>
          <w:szCs w:val="24"/>
          <w:lang w:val="en-GB"/>
        </w:rPr>
        <w:t xml:space="preserve"> 2 Mei 2011</w:t>
      </w:r>
    </w:p>
    <w:p w:rsidR="00C41941" w:rsidRPr="00E61652" w:rsidRDefault="00C41941" w:rsidP="0043791B">
      <w:pPr>
        <w:pStyle w:val="ListParagraph"/>
        <w:numPr>
          <w:ilvl w:val="0"/>
          <w:numId w:val="1"/>
        </w:numPr>
        <w:spacing w:before="100" w:beforeAutospacing="1" w:after="100" w:afterAutospacing="1" w:line="360" w:lineRule="auto"/>
        <w:jc w:val="both"/>
        <w:rPr>
          <w:rFonts w:ascii="Times New Roman" w:eastAsia="Times New Roman" w:hAnsi="Times New Roman"/>
          <w:sz w:val="24"/>
          <w:szCs w:val="24"/>
          <w:lang w:val="en-GB" w:eastAsia="en-GB"/>
        </w:rPr>
      </w:pPr>
      <w:proofErr w:type="spellStart"/>
      <w:r w:rsidRPr="00E61652">
        <w:rPr>
          <w:rFonts w:ascii="Times New Roman" w:eastAsia="Times New Roman" w:hAnsi="Times New Roman"/>
          <w:bCs/>
          <w:sz w:val="24"/>
          <w:szCs w:val="24"/>
          <w:lang w:val="en-GB" w:eastAsia="en-GB"/>
        </w:rPr>
        <w:t>Mikuls</w:t>
      </w:r>
      <w:proofErr w:type="spellEnd"/>
      <w:r w:rsidRPr="00E61652">
        <w:rPr>
          <w:rFonts w:ascii="Times New Roman" w:eastAsia="Times New Roman" w:hAnsi="Times New Roman"/>
          <w:bCs/>
          <w:sz w:val="24"/>
          <w:szCs w:val="24"/>
          <w:lang w:val="en-GB" w:eastAsia="en-GB"/>
        </w:rPr>
        <w:t xml:space="preserve"> TR, Farrar JT, Bilker WB, et al.</w:t>
      </w:r>
      <w:r w:rsidRPr="00E61652">
        <w:rPr>
          <w:rFonts w:ascii="Times New Roman" w:eastAsia="Times New Roman" w:hAnsi="Times New Roman"/>
          <w:sz w:val="24"/>
          <w:szCs w:val="24"/>
          <w:lang w:val="en-GB" w:eastAsia="en-GB"/>
        </w:rPr>
        <w:t xml:space="preserve"> The treatment of asymptomatic </w:t>
      </w:r>
      <w:proofErr w:type="spellStart"/>
      <w:r w:rsidRPr="00E61652">
        <w:rPr>
          <w:rFonts w:ascii="Times New Roman" w:eastAsia="Times New Roman" w:hAnsi="Times New Roman"/>
          <w:sz w:val="24"/>
          <w:szCs w:val="24"/>
          <w:lang w:val="en-GB" w:eastAsia="en-GB"/>
        </w:rPr>
        <w:t>hyperuricemia</w:t>
      </w:r>
      <w:proofErr w:type="spellEnd"/>
      <w:r w:rsidRPr="00E61652">
        <w:rPr>
          <w:rFonts w:ascii="Times New Roman" w:eastAsia="Times New Roman" w:hAnsi="Times New Roman"/>
          <w:sz w:val="24"/>
          <w:szCs w:val="24"/>
          <w:lang w:val="en-GB" w:eastAsia="en-GB"/>
        </w:rPr>
        <w:t xml:space="preserve">: results from the population-based general practice research database (GPRD). </w:t>
      </w:r>
      <w:r w:rsidRPr="00E61652">
        <w:rPr>
          <w:rFonts w:ascii="Times New Roman" w:eastAsia="Times New Roman" w:hAnsi="Times New Roman"/>
          <w:i/>
          <w:iCs/>
          <w:sz w:val="24"/>
          <w:szCs w:val="24"/>
          <w:lang w:val="en-GB" w:eastAsia="en-GB"/>
        </w:rPr>
        <w:t>Arthritis Rheum</w:t>
      </w:r>
      <w:r w:rsidRPr="00E61652">
        <w:rPr>
          <w:rFonts w:ascii="Times New Roman" w:eastAsia="Times New Roman" w:hAnsi="Times New Roman"/>
          <w:sz w:val="24"/>
          <w:szCs w:val="24"/>
          <w:lang w:val="en-GB" w:eastAsia="en-GB"/>
        </w:rPr>
        <w:t>. 2003</w:t>
      </w:r>
      <w:proofErr w:type="gramStart"/>
      <w:r w:rsidRPr="00E61652">
        <w:rPr>
          <w:rFonts w:ascii="Times New Roman" w:eastAsia="Times New Roman" w:hAnsi="Times New Roman"/>
          <w:sz w:val="24"/>
          <w:szCs w:val="24"/>
          <w:lang w:val="en-GB" w:eastAsia="en-GB"/>
        </w:rPr>
        <w:t>;48</w:t>
      </w:r>
      <w:proofErr w:type="gramEnd"/>
      <w:r w:rsidRPr="00E61652">
        <w:rPr>
          <w:rFonts w:ascii="Times New Roman" w:eastAsia="Times New Roman" w:hAnsi="Times New Roman"/>
          <w:sz w:val="24"/>
          <w:szCs w:val="24"/>
          <w:lang w:val="en-GB" w:eastAsia="en-GB"/>
        </w:rPr>
        <w:t>(</w:t>
      </w:r>
      <w:proofErr w:type="spellStart"/>
      <w:r w:rsidRPr="00E61652">
        <w:rPr>
          <w:rFonts w:ascii="Times New Roman" w:eastAsia="Times New Roman" w:hAnsi="Times New Roman"/>
          <w:sz w:val="24"/>
          <w:szCs w:val="24"/>
          <w:lang w:val="en-GB" w:eastAsia="en-GB"/>
        </w:rPr>
        <w:t>suppl</w:t>
      </w:r>
      <w:proofErr w:type="spellEnd"/>
      <w:r w:rsidRPr="00E61652">
        <w:rPr>
          <w:rFonts w:ascii="Times New Roman" w:eastAsia="Times New Roman" w:hAnsi="Times New Roman"/>
          <w:sz w:val="24"/>
          <w:szCs w:val="24"/>
          <w:lang w:val="en-GB" w:eastAsia="en-GB"/>
        </w:rPr>
        <w:t xml:space="preserve"> 9):S612.</w:t>
      </w:r>
    </w:p>
    <w:p w:rsidR="00C41941" w:rsidRPr="00E61652" w:rsidRDefault="00C41941" w:rsidP="0043791B">
      <w:pPr>
        <w:pStyle w:val="ListParagraph"/>
        <w:numPr>
          <w:ilvl w:val="0"/>
          <w:numId w:val="1"/>
        </w:numPr>
        <w:spacing w:before="100" w:beforeAutospacing="1" w:after="100" w:afterAutospacing="1" w:line="360" w:lineRule="auto"/>
        <w:jc w:val="both"/>
        <w:rPr>
          <w:rFonts w:ascii="Times New Roman" w:eastAsia="Times New Roman" w:hAnsi="Times New Roman"/>
          <w:sz w:val="24"/>
          <w:szCs w:val="24"/>
          <w:lang w:val="en-GB" w:eastAsia="en-GB"/>
        </w:rPr>
      </w:pPr>
      <w:proofErr w:type="spellStart"/>
      <w:r w:rsidRPr="00E61652">
        <w:rPr>
          <w:rFonts w:ascii="Times New Roman" w:eastAsia="Times New Roman" w:hAnsi="Times New Roman"/>
          <w:bCs/>
          <w:sz w:val="24"/>
          <w:szCs w:val="24"/>
          <w:lang w:val="en-GB" w:eastAsia="en-GB"/>
        </w:rPr>
        <w:t>Rott</w:t>
      </w:r>
      <w:proofErr w:type="spellEnd"/>
      <w:r w:rsidRPr="00E61652">
        <w:rPr>
          <w:rFonts w:ascii="Times New Roman" w:eastAsia="Times New Roman" w:hAnsi="Times New Roman"/>
          <w:bCs/>
          <w:sz w:val="24"/>
          <w:szCs w:val="24"/>
          <w:lang w:val="en-GB" w:eastAsia="en-GB"/>
        </w:rPr>
        <w:t xml:space="preserve"> KT, </w:t>
      </w:r>
      <w:proofErr w:type="spellStart"/>
      <w:r w:rsidRPr="00E61652">
        <w:rPr>
          <w:rFonts w:ascii="Times New Roman" w:eastAsia="Times New Roman" w:hAnsi="Times New Roman"/>
          <w:bCs/>
          <w:sz w:val="24"/>
          <w:szCs w:val="24"/>
          <w:lang w:val="en-GB" w:eastAsia="en-GB"/>
        </w:rPr>
        <w:t>Agudelo</w:t>
      </w:r>
      <w:proofErr w:type="spellEnd"/>
      <w:r w:rsidRPr="00E61652">
        <w:rPr>
          <w:rFonts w:ascii="Times New Roman" w:eastAsia="Times New Roman" w:hAnsi="Times New Roman"/>
          <w:bCs/>
          <w:sz w:val="24"/>
          <w:szCs w:val="24"/>
          <w:lang w:val="en-GB" w:eastAsia="en-GB"/>
        </w:rPr>
        <w:t xml:space="preserve"> CA.</w:t>
      </w:r>
      <w:r w:rsidRPr="00E61652">
        <w:rPr>
          <w:rFonts w:ascii="Times New Roman" w:eastAsia="Times New Roman" w:hAnsi="Times New Roman"/>
          <w:sz w:val="24"/>
          <w:szCs w:val="24"/>
          <w:lang w:val="en-GB" w:eastAsia="en-GB"/>
        </w:rPr>
        <w:t xml:space="preserve"> Gout. </w:t>
      </w:r>
      <w:r w:rsidRPr="00E61652">
        <w:rPr>
          <w:rFonts w:ascii="Times New Roman" w:eastAsia="Times New Roman" w:hAnsi="Times New Roman"/>
          <w:i/>
          <w:iCs/>
          <w:sz w:val="24"/>
          <w:szCs w:val="24"/>
          <w:lang w:val="en-GB" w:eastAsia="en-GB"/>
        </w:rPr>
        <w:t>JAMA</w:t>
      </w:r>
      <w:r w:rsidRPr="00E61652">
        <w:rPr>
          <w:rFonts w:ascii="Times New Roman" w:eastAsia="Times New Roman" w:hAnsi="Times New Roman"/>
          <w:sz w:val="24"/>
          <w:szCs w:val="24"/>
          <w:lang w:val="en-GB" w:eastAsia="en-GB"/>
        </w:rPr>
        <w:t>. 2003</w:t>
      </w:r>
      <w:proofErr w:type="gramStart"/>
      <w:r w:rsidRPr="00E61652">
        <w:rPr>
          <w:rFonts w:ascii="Times New Roman" w:eastAsia="Times New Roman" w:hAnsi="Times New Roman"/>
          <w:sz w:val="24"/>
          <w:szCs w:val="24"/>
          <w:lang w:val="en-GB" w:eastAsia="en-GB"/>
        </w:rPr>
        <w:t>;289:2857</w:t>
      </w:r>
      <w:proofErr w:type="gramEnd"/>
      <w:r w:rsidRPr="00E61652">
        <w:rPr>
          <w:rFonts w:ascii="Times New Roman" w:eastAsia="Times New Roman" w:hAnsi="Times New Roman"/>
          <w:sz w:val="24"/>
          <w:szCs w:val="24"/>
          <w:lang w:val="en-GB" w:eastAsia="en-GB"/>
        </w:rPr>
        <w:t>-2860.</w:t>
      </w:r>
    </w:p>
    <w:p w:rsidR="00C41941" w:rsidRPr="00E61652" w:rsidRDefault="00C41941" w:rsidP="0043791B">
      <w:pPr>
        <w:pStyle w:val="ListParagraph"/>
        <w:numPr>
          <w:ilvl w:val="0"/>
          <w:numId w:val="1"/>
        </w:numPr>
        <w:spacing w:before="100" w:beforeAutospacing="1" w:after="100" w:afterAutospacing="1" w:line="360" w:lineRule="auto"/>
        <w:jc w:val="both"/>
        <w:rPr>
          <w:rFonts w:ascii="Times New Roman" w:eastAsia="Times New Roman" w:hAnsi="Times New Roman"/>
          <w:sz w:val="24"/>
          <w:szCs w:val="24"/>
          <w:lang w:val="en-GB" w:eastAsia="en-GB"/>
        </w:rPr>
      </w:pPr>
      <w:proofErr w:type="spellStart"/>
      <w:r w:rsidRPr="00E61652">
        <w:rPr>
          <w:rFonts w:ascii="Times New Roman" w:eastAsia="Times New Roman" w:hAnsi="Times New Roman"/>
          <w:bCs/>
          <w:sz w:val="24"/>
          <w:szCs w:val="24"/>
          <w:lang w:val="en-GB" w:eastAsia="en-GB"/>
        </w:rPr>
        <w:t>Meigs</w:t>
      </w:r>
      <w:proofErr w:type="spellEnd"/>
      <w:r w:rsidRPr="00E61652">
        <w:rPr>
          <w:rFonts w:ascii="Times New Roman" w:eastAsia="Times New Roman" w:hAnsi="Times New Roman"/>
          <w:bCs/>
          <w:sz w:val="24"/>
          <w:szCs w:val="24"/>
          <w:lang w:val="en-GB" w:eastAsia="en-GB"/>
        </w:rPr>
        <w:t xml:space="preserve"> JB, Wilson PW, Nathan DM, </w:t>
      </w:r>
      <w:proofErr w:type="spellStart"/>
      <w:r w:rsidRPr="00E61652">
        <w:rPr>
          <w:rFonts w:ascii="Times New Roman" w:eastAsia="Times New Roman" w:hAnsi="Times New Roman"/>
          <w:bCs/>
          <w:sz w:val="24"/>
          <w:szCs w:val="24"/>
          <w:lang w:val="en-GB" w:eastAsia="en-GB"/>
        </w:rPr>
        <w:t>D’Agostino</w:t>
      </w:r>
      <w:proofErr w:type="spellEnd"/>
      <w:r w:rsidRPr="00E61652">
        <w:rPr>
          <w:rFonts w:ascii="Times New Roman" w:eastAsia="Times New Roman" w:hAnsi="Times New Roman"/>
          <w:bCs/>
          <w:sz w:val="24"/>
          <w:szCs w:val="24"/>
          <w:lang w:val="en-GB" w:eastAsia="en-GB"/>
        </w:rPr>
        <w:t xml:space="preserve"> RB </w:t>
      </w:r>
      <w:proofErr w:type="spellStart"/>
      <w:r w:rsidRPr="00E61652">
        <w:rPr>
          <w:rFonts w:ascii="Times New Roman" w:eastAsia="Times New Roman" w:hAnsi="Times New Roman"/>
          <w:bCs/>
          <w:sz w:val="24"/>
          <w:szCs w:val="24"/>
          <w:lang w:val="en-GB" w:eastAsia="en-GB"/>
        </w:rPr>
        <w:t>Sr</w:t>
      </w:r>
      <w:proofErr w:type="spellEnd"/>
      <w:r w:rsidRPr="00E61652">
        <w:rPr>
          <w:rFonts w:ascii="Times New Roman" w:eastAsia="Times New Roman" w:hAnsi="Times New Roman"/>
          <w:bCs/>
          <w:sz w:val="24"/>
          <w:szCs w:val="24"/>
          <w:lang w:val="en-GB" w:eastAsia="en-GB"/>
        </w:rPr>
        <w:t xml:space="preserve">, Williams K, </w:t>
      </w:r>
      <w:proofErr w:type="spellStart"/>
      <w:r w:rsidRPr="00E61652">
        <w:rPr>
          <w:rFonts w:ascii="Times New Roman" w:eastAsia="Times New Roman" w:hAnsi="Times New Roman"/>
          <w:bCs/>
          <w:sz w:val="24"/>
          <w:szCs w:val="24"/>
          <w:lang w:val="en-GB" w:eastAsia="en-GB"/>
        </w:rPr>
        <w:t>Haffner</w:t>
      </w:r>
      <w:proofErr w:type="spellEnd"/>
      <w:r w:rsidRPr="00E61652">
        <w:rPr>
          <w:rFonts w:ascii="Times New Roman" w:eastAsia="Times New Roman" w:hAnsi="Times New Roman"/>
          <w:bCs/>
          <w:sz w:val="24"/>
          <w:szCs w:val="24"/>
          <w:lang w:val="en-GB" w:eastAsia="en-GB"/>
        </w:rPr>
        <w:t xml:space="preserve"> SM.</w:t>
      </w:r>
      <w:r w:rsidRPr="00E61652">
        <w:rPr>
          <w:rFonts w:ascii="Times New Roman" w:eastAsia="Times New Roman" w:hAnsi="Times New Roman"/>
          <w:sz w:val="24"/>
          <w:szCs w:val="24"/>
          <w:lang w:val="en-GB" w:eastAsia="en-GB"/>
        </w:rPr>
        <w:t xml:space="preserve"> Prevalence and characteristics of the metabolic syndrome in the San Antonio Heart and Framingham Offspring Studies. </w:t>
      </w:r>
      <w:r w:rsidRPr="00E61652">
        <w:rPr>
          <w:rFonts w:ascii="Times New Roman" w:eastAsia="Times New Roman" w:hAnsi="Times New Roman"/>
          <w:i/>
          <w:iCs/>
          <w:sz w:val="24"/>
          <w:szCs w:val="24"/>
          <w:lang w:val="en-GB" w:eastAsia="en-GB"/>
        </w:rPr>
        <w:t>Diabetes</w:t>
      </w:r>
      <w:r w:rsidRPr="00E61652">
        <w:rPr>
          <w:rFonts w:ascii="Times New Roman" w:eastAsia="Times New Roman" w:hAnsi="Times New Roman"/>
          <w:sz w:val="24"/>
          <w:szCs w:val="24"/>
          <w:lang w:val="en-GB" w:eastAsia="en-GB"/>
        </w:rPr>
        <w:t>. 2003</w:t>
      </w:r>
      <w:proofErr w:type="gramStart"/>
      <w:r w:rsidRPr="00E61652">
        <w:rPr>
          <w:rFonts w:ascii="Times New Roman" w:eastAsia="Times New Roman" w:hAnsi="Times New Roman"/>
          <w:sz w:val="24"/>
          <w:szCs w:val="24"/>
          <w:lang w:val="en-GB" w:eastAsia="en-GB"/>
        </w:rPr>
        <w:t>;52:2160</w:t>
      </w:r>
      <w:proofErr w:type="gramEnd"/>
      <w:r w:rsidRPr="00E61652">
        <w:rPr>
          <w:rFonts w:ascii="Times New Roman" w:eastAsia="Times New Roman" w:hAnsi="Times New Roman"/>
          <w:sz w:val="24"/>
          <w:szCs w:val="24"/>
          <w:lang w:val="en-GB" w:eastAsia="en-GB"/>
        </w:rPr>
        <w:t>-2167.</w:t>
      </w:r>
    </w:p>
    <w:p w:rsidR="00C41941" w:rsidRPr="00E61652" w:rsidRDefault="00C41941" w:rsidP="0043791B">
      <w:pPr>
        <w:pStyle w:val="ListParagraph"/>
        <w:numPr>
          <w:ilvl w:val="0"/>
          <w:numId w:val="1"/>
        </w:numPr>
        <w:spacing w:before="100" w:beforeAutospacing="1" w:after="100" w:afterAutospacing="1" w:line="360" w:lineRule="auto"/>
        <w:jc w:val="both"/>
        <w:rPr>
          <w:rFonts w:ascii="Times New Roman" w:eastAsia="Times New Roman" w:hAnsi="Times New Roman"/>
          <w:sz w:val="24"/>
          <w:szCs w:val="24"/>
          <w:lang w:val="en-GB" w:eastAsia="en-GB"/>
        </w:rPr>
      </w:pPr>
      <w:r w:rsidRPr="00E61652">
        <w:rPr>
          <w:rFonts w:ascii="Times New Roman" w:eastAsia="Times New Roman" w:hAnsi="Times New Roman"/>
          <w:bCs/>
          <w:sz w:val="24"/>
          <w:szCs w:val="24"/>
          <w:lang w:val="en-GB" w:eastAsia="en-GB"/>
        </w:rPr>
        <w:t>Ford ES, Giles WH, Dietz WH.</w:t>
      </w:r>
      <w:r w:rsidRPr="00E61652">
        <w:rPr>
          <w:rFonts w:ascii="Times New Roman" w:eastAsia="Times New Roman" w:hAnsi="Times New Roman"/>
          <w:sz w:val="24"/>
          <w:szCs w:val="24"/>
          <w:lang w:val="en-GB" w:eastAsia="en-GB"/>
        </w:rPr>
        <w:t xml:space="preserve"> Prevalence of the metabolic syndrome among US adults: findings from the Third National Health and Nutrition Examination Survey. </w:t>
      </w:r>
      <w:r w:rsidRPr="00E61652">
        <w:rPr>
          <w:rFonts w:ascii="Times New Roman" w:eastAsia="Times New Roman" w:hAnsi="Times New Roman"/>
          <w:i/>
          <w:iCs/>
          <w:sz w:val="24"/>
          <w:szCs w:val="24"/>
          <w:lang w:val="en-GB" w:eastAsia="en-GB"/>
        </w:rPr>
        <w:t>JAMA</w:t>
      </w:r>
      <w:r w:rsidRPr="00E61652">
        <w:rPr>
          <w:rFonts w:ascii="Times New Roman" w:eastAsia="Times New Roman" w:hAnsi="Times New Roman"/>
          <w:sz w:val="24"/>
          <w:szCs w:val="24"/>
          <w:lang w:val="en-GB" w:eastAsia="en-GB"/>
        </w:rPr>
        <w:t>. 2002</w:t>
      </w:r>
      <w:proofErr w:type="gramStart"/>
      <w:r w:rsidRPr="00E61652">
        <w:rPr>
          <w:rFonts w:ascii="Times New Roman" w:eastAsia="Times New Roman" w:hAnsi="Times New Roman"/>
          <w:sz w:val="24"/>
          <w:szCs w:val="24"/>
          <w:lang w:val="en-GB" w:eastAsia="en-GB"/>
        </w:rPr>
        <w:t>;287:356</w:t>
      </w:r>
      <w:proofErr w:type="gramEnd"/>
      <w:r w:rsidRPr="00E61652">
        <w:rPr>
          <w:rFonts w:ascii="Times New Roman" w:eastAsia="Times New Roman" w:hAnsi="Times New Roman"/>
          <w:sz w:val="24"/>
          <w:szCs w:val="24"/>
          <w:lang w:val="en-GB" w:eastAsia="en-GB"/>
        </w:rPr>
        <w:t>-359.</w:t>
      </w:r>
    </w:p>
    <w:p w:rsidR="00C41941" w:rsidRPr="00E61652" w:rsidRDefault="00C41941" w:rsidP="0043791B">
      <w:pPr>
        <w:pStyle w:val="ListParagraph"/>
        <w:numPr>
          <w:ilvl w:val="0"/>
          <w:numId w:val="1"/>
        </w:numPr>
        <w:spacing w:before="100" w:beforeAutospacing="1" w:after="100" w:afterAutospacing="1" w:line="360" w:lineRule="auto"/>
        <w:jc w:val="both"/>
        <w:rPr>
          <w:rFonts w:ascii="Times New Roman" w:eastAsia="Times New Roman" w:hAnsi="Times New Roman"/>
          <w:sz w:val="24"/>
          <w:szCs w:val="24"/>
          <w:lang w:val="en-GB" w:eastAsia="en-GB"/>
        </w:rPr>
      </w:pPr>
      <w:r w:rsidRPr="00E61652">
        <w:rPr>
          <w:rFonts w:ascii="Times New Roman" w:eastAsia="Times New Roman" w:hAnsi="Times New Roman"/>
          <w:bCs/>
          <w:sz w:val="24"/>
          <w:szCs w:val="24"/>
          <w:lang w:val="en-GB" w:eastAsia="en-GB"/>
        </w:rPr>
        <w:t xml:space="preserve">Campion EW, Glynn RJ, </w:t>
      </w:r>
      <w:proofErr w:type="spellStart"/>
      <w:r w:rsidRPr="00E61652">
        <w:rPr>
          <w:rFonts w:ascii="Times New Roman" w:eastAsia="Times New Roman" w:hAnsi="Times New Roman"/>
          <w:bCs/>
          <w:sz w:val="24"/>
          <w:szCs w:val="24"/>
          <w:lang w:val="en-GB" w:eastAsia="en-GB"/>
        </w:rPr>
        <w:t>DeLabry</w:t>
      </w:r>
      <w:proofErr w:type="spellEnd"/>
      <w:r w:rsidRPr="00E61652">
        <w:rPr>
          <w:rFonts w:ascii="Times New Roman" w:eastAsia="Times New Roman" w:hAnsi="Times New Roman"/>
          <w:bCs/>
          <w:sz w:val="24"/>
          <w:szCs w:val="24"/>
          <w:lang w:val="en-GB" w:eastAsia="en-GB"/>
        </w:rPr>
        <w:t xml:space="preserve"> LO.</w:t>
      </w:r>
      <w:r w:rsidRPr="00E61652">
        <w:rPr>
          <w:rFonts w:ascii="Times New Roman" w:eastAsia="Times New Roman" w:hAnsi="Times New Roman"/>
          <w:sz w:val="24"/>
          <w:szCs w:val="24"/>
          <w:lang w:val="en-GB" w:eastAsia="en-GB"/>
        </w:rPr>
        <w:t xml:space="preserve"> Asymptomatic </w:t>
      </w:r>
      <w:proofErr w:type="spellStart"/>
      <w:r w:rsidRPr="00E61652">
        <w:rPr>
          <w:rFonts w:ascii="Times New Roman" w:eastAsia="Times New Roman" w:hAnsi="Times New Roman"/>
          <w:sz w:val="24"/>
          <w:szCs w:val="24"/>
          <w:lang w:val="en-GB" w:eastAsia="en-GB"/>
        </w:rPr>
        <w:t>hyperuricemia</w:t>
      </w:r>
      <w:proofErr w:type="spellEnd"/>
      <w:r w:rsidRPr="00E61652">
        <w:rPr>
          <w:rFonts w:ascii="Times New Roman" w:eastAsia="Times New Roman" w:hAnsi="Times New Roman"/>
          <w:sz w:val="24"/>
          <w:szCs w:val="24"/>
          <w:lang w:val="en-GB" w:eastAsia="en-GB"/>
        </w:rPr>
        <w:t xml:space="preserve">. Risks and consequences in the Normative Aging Study. </w:t>
      </w:r>
      <w:r w:rsidRPr="00E61652">
        <w:rPr>
          <w:rFonts w:ascii="Times New Roman" w:eastAsia="Times New Roman" w:hAnsi="Times New Roman"/>
          <w:i/>
          <w:iCs/>
          <w:sz w:val="24"/>
          <w:szCs w:val="24"/>
          <w:lang w:val="en-GB" w:eastAsia="en-GB"/>
        </w:rPr>
        <w:t>Am J Med</w:t>
      </w:r>
      <w:r w:rsidRPr="00E61652">
        <w:rPr>
          <w:rFonts w:ascii="Times New Roman" w:eastAsia="Times New Roman" w:hAnsi="Times New Roman"/>
          <w:sz w:val="24"/>
          <w:szCs w:val="24"/>
          <w:lang w:val="en-GB" w:eastAsia="en-GB"/>
        </w:rPr>
        <w:t>. 1987</w:t>
      </w:r>
      <w:proofErr w:type="gramStart"/>
      <w:r w:rsidRPr="00E61652">
        <w:rPr>
          <w:rFonts w:ascii="Times New Roman" w:eastAsia="Times New Roman" w:hAnsi="Times New Roman"/>
          <w:sz w:val="24"/>
          <w:szCs w:val="24"/>
          <w:lang w:val="en-GB" w:eastAsia="en-GB"/>
        </w:rPr>
        <w:t>;82:421</w:t>
      </w:r>
      <w:proofErr w:type="gramEnd"/>
      <w:r w:rsidRPr="00E61652">
        <w:rPr>
          <w:rFonts w:ascii="Times New Roman" w:eastAsia="Times New Roman" w:hAnsi="Times New Roman"/>
          <w:sz w:val="24"/>
          <w:szCs w:val="24"/>
          <w:lang w:val="en-GB" w:eastAsia="en-GB"/>
        </w:rPr>
        <w:t>-426.</w:t>
      </w:r>
    </w:p>
    <w:p w:rsidR="00C41941" w:rsidRPr="00E61652" w:rsidRDefault="00C41941" w:rsidP="0043791B">
      <w:pPr>
        <w:pStyle w:val="ListParagraph"/>
        <w:numPr>
          <w:ilvl w:val="0"/>
          <w:numId w:val="1"/>
        </w:numPr>
        <w:spacing w:before="100" w:beforeAutospacing="1" w:after="100" w:afterAutospacing="1" w:line="360" w:lineRule="auto"/>
        <w:jc w:val="both"/>
        <w:rPr>
          <w:rFonts w:ascii="Times New Roman" w:eastAsia="Times New Roman" w:hAnsi="Times New Roman"/>
          <w:sz w:val="24"/>
          <w:szCs w:val="24"/>
          <w:lang w:val="en-GB" w:eastAsia="en-GB"/>
        </w:rPr>
      </w:pPr>
      <w:r w:rsidRPr="00E61652">
        <w:rPr>
          <w:rFonts w:ascii="Times New Roman" w:eastAsia="Times New Roman" w:hAnsi="Times New Roman"/>
          <w:bCs/>
          <w:sz w:val="24"/>
          <w:szCs w:val="24"/>
          <w:lang w:val="en-GB" w:eastAsia="en-GB"/>
        </w:rPr>
        <w:lastRenderedPageBreak/>
        <w:t xml:space="preserve">Langford HG, </w:t>
      </w:r>
      <w:proofErr w:type="spellStart"/>
      <w:r w:rsidRPr="00E61652">
        <w:rPr>
          <w:rFonts w:ascii="Times New Roman" w:eastAsia="Times New Roman" w:hAnsi="Times New Roman"/>
          <w:bCs/>
          <w:sz w:val="24"/>
          <w:szCs w:val="24"/>
          <w:lang w:val="en-GB" w:eastAsia="en-GB"/>
        </w:rPr>
        <w:t>Blaufox</w:t>
      </w:r>
      <w:proofErr w:type="spellEnd"/>
      <w:r w:rsidRPr="00E61652">
        <w:rPr>
          <w:rFonts w:ascii="Times New Roman" w:eastAsia="Times New Roman" w:hAnsi="Times New Roman"/>
          <w:bCs/>
          <w:sz w:val="24"/>
          <w:szCs w:val="24"/>
          <w:lang w:val="en-GB" w:eastAsia="en-GB"/>
        </w:rPr>
        <w:t xml:space="preserve"> MD, </w:t>
      </w:r>
      <w:proofErr w:type="spellStart"/>
      <w:r w:rsidRPr="00E61652">
        <w:rPr>
          <w:rFonts w:ascii="Times New Roman" w:eastAsia="Times New Roman" w:hAnsi="Times New Roman"/>
          <w:bCs/>
          <w:sz w:val="24"/>
          <w:szCs w:val="24"/>
          <w:lang w:val="en-GB" w:eastAsia="en-GB"/>
        </w:rPr>
        <w:t>Borhani</w:t>
      </w:r>
      <w:proofErr w:type="spellEnd"/>
      <w:r w:rsidRPr="00E61652">
        <w:rPr>
          <w:rFonts w:ascii="Times New Roman" w:eastAsia="Times New Roman" w:hAnsi="Times New Roman"/>
          <w:bCs/>
          <w:sz w:val="24"/>
          <w:szCs w:val="24"/>
          <w:lang w:val="en-GB" w:eastAsia="en-GB"/>
        </w:rPr>
        <w:t xml:space="preserve"> NO, et al.</w:t>
      </w:r>
      <w:r w:rsidRPr="00E61652">
        <w:rPr>
          <w:rFonts w:ascii="Times New Roman" w:eastAsia="Times New Roman" w:hAnsi="Times New Roman"/>
          <w:sz w:val="24"/>
          <w:szCs w:val="24"/>
          <w:lang w:val="en-GB" w:eastAsia="en-GB"/>
        </w:rPr>
        <w:t xml:space="preserve"> Is </w:t>
      </w:r>
      <w:proofErr w:type="spellStart"/>
      <w:r w:rsidRPr="00E61652">
        <w:rPr>
          <w:rFonts w:ascii="Times New Roman" w:eastAsia="Times New Roman" w:hAnsi="Times New Roman"/>
          <w:sz w:val="24"/>
          <w:szCs w:val="24"/>
          <w:lang w:val="en-GB" w:eastAsia="en-GB"/>
        </w:rPr>
        <w:t>thiazide</w:t>
      </w:r>
      <w:proofErr w:type="spellEnd"/>
      <w:r w:rsidRPr="00E61652">
        <w:rPr>
          <w:rFonts w:ascii="Times New Roman" w:eastAsia="Times New Roman" w:hAnsi="Times New Roman"/>
          <w:sz w:val="24"/>
          <w:szCs w:val="24"/>
          <w:lang w:val="en-GB" w:eastAsia="en-GB"/>
        </w:rPr>
        <w:t xml:space="preserve">-produced uric acid elevation harmful? Analysis of data from the Hypertension Detection and Follow-up Program. </w:t>
      </w:r>
      <w:r w:rsidRPr="00E61652">
        <w:rPr>
          <w:rFonts w:ascii="Times New Roman" w:eastAsia="Times New Roman" w:hAnsi="Times New Roman"/>
          <w:i/>
          <w:iCs/>
          <w:sz w:val="24"/>
          <w:szCs w:val="24"/>
          <w:lang w:val="en-GB" w:eastAsia="en-GB"/>
        </w:rPr>
        <w:t>Arch Intern Med</w:t>
      </w:r>
      <w:r w:rsidRPr="00E61652">
        <w:rPr>
          <w:rFonts w:ascii="Times New Roman" w:eastAsia="Times New Roman" w:hAnsi="Times New Roman"/>
          <w:sz w:val="24"/>
          <w:szCs w:val="24"/>
          <w:lang w:val="en-GB" w:eastAsia="en-GB"/>
        </w:rPr>
        <w:t>. 1987</w:t>
      </w:r>
      <w:proofErr w:type="gramStart"/>
      <w:r w:rsidRPr="00E61652">
        <w:rPr>
          <w:rFonts w:ascii="Times New Roman" w:eastAsia="Times New Roman" w:hAnsi="Times New Roman"/>
          <w:sz w:val="24"/>
          <w:szCs w:val="24"/>
          <w:lang w:val="en-GB" w:eastAsia="en-GB"/>
        </w:rPr>
        <w:t>;147:645</w:t>
      </w:r>
      <w:proofErr w:type="gramEnd"/>
      <w:r w:rsidRPr="00E61652">
        <w:rPr>
          <w:rFonts w:ascii="Times New Roman" w:eastAsia="Times New Roman" w:hAnsi="Times New Roman"/>
          <w:sz w:val="24"/>
          <w:szCs w:val="24"/>
          <w:lang w:val="en-GB" w:eastAsia="en-GB"/>
        </w:rPr>
        <w:t>-649.</w:t>
      </w:r>
    </w:p>
    <w:p w:rsidR="00C41941" w:rsidRPr="00E61652" w:rsidRDefault="00C41941" w:rsidP="0043791B">
      <w:pPr>
        <w:pStyle w:val="ListParagraph"/>
        <w:numPr>
          <w:ilvl w:val="0"/>
          <w:numId w:val="1"/>
        </w:numPr>
        <w:spacing w:before="100" w:beforeAutospacing="1" w:after="100" w:afterAutospacing="1" w:line="360" w:lineRule="auto"/>
        <w:jc w:val="both"/>
        <w:rPr>
          <w:rFonts w:ascii="Times New Roman" w:eastAsia="Times New Roman" w:hAnsi="Times New Roman"/>
          <w:sz w:val="24"/>
          <w:szCs w:val="24"/>
          <w:lang w:val="en-GB" w:eastAsia="en-GB"/>
        </w:rPr>
      </w:pPr>
      <w:r w:rsidRPr="00E61652">
        <w:rPr>
          <w:rFonts w:ascii="Times New Roman" w:eastAsia="Times New Roman" w:hAnsi="Times New Roman"/>
          <w:bCs/>
          <w:sz w:val="24"/>
          <w:szCs w:val="24"/>
          <w:lang w:val="en-GB" w:eastAsia="en-GB"/>
        </w:rPr>
        <w:t xml:space="preserve">Hall AP, Barry PE, </w:t>
      </w:r>
      <w:proofErr w:type="spellStart"/>
      <w:r w:rsidRPr="00E61652">
        <w:rPr>
          <w:rFonts w:ascii="Times New Roman" w:eastAsia="Times New Roman" w:hAnsi="Times New Roman"/>
          <w:bCs/>
          <w:sz w:val="24"/>
          <w:szCs w:val="24"/>
          <w:lang w:val="en-GB" w:eastAsia="en-GB"/>
        </w:rPr>
        <w:t>Dawber</w:t>
      </w:r>
      <w:proofErr w:type="spellEnd"/>
      <w:r w:rsidRPr="00E61652">
        <w:rPr>
          <w:rFonts w:ascii="Times New Roman" w:eastAsia="Times New Roman" w:hAnsi="Times New Roman"/>
          <w:bCs/>
          <w:sz w:val="24"/>
          <w:szCs w:val="24"/>
          <w:lang w:val="en-GB" w:eastAsia="en-GB"/>
        </w:rPr>
        <w:t xml:space="preserve"> TR, McNamara PM.</w:t>
      </w:r>
      <w:r w:rsidRPr="00E61652">
        <w:rPr>
          <w:rFonts w:ascii="Times New Roman" w:eastAsia="Times New Roman" w:hAnsi="Times New Roman"/>
          <w:sz w:val="24"/>
          <w:szCs w:val="24"/>
          <w:lang w:val="en-GB" w:eastAsia="en-GB"/>
        </w:rPr>
        <w:t xml:space="preserve"> Epidemiology of gout and </w:t>
      </w:r>
      <w:proofErr w:type="spellStart"/>
      <w:r w:rsidRPr="00E61652">
        <w:rPr>
          <w:rFonts w:ascii="Times New Roman" w:eastAsia="Times New Roman" w:hAnsi="Times New Roman"/>
          <w:sz w:val="24"/>
          <w:szCs w:val="24"/>
          <w:lang w:val="en-GB" w:eastAsia="en-GB"/>
        </w:rPr>
        <w:t>hyperuricemia</w:t>
      </w:r>
      <w:proofErr w:type="spellEnd"/>
      <w:r w:rsidRPr="00E61652">
        <w:rPr>
          <w:rFonts w:ascii="Times New Roman" w:eastAsia="Times New Roman" w:hAnsi="Times New Roman"/>
          <w:sz w:val="24"/>
          <w:szCs w:val="24"/>
          <w:lang w:val="en-GB" w:eastAsia="en-GB"/>
        </w:rPr>
        <w:t xml:space="preserve">. A long-term population study. </w:t>
      </w:r>
      <w:r w:rsidRPr="00E61652">
        <w:rPr>
          <w:rFonts w:ascii="Times New Roman" w:eastAsia="Times New Roman" w:hAnsi="Times New Roman"/>
          <w:i/>
          <w:iCs/>
          <w:sz w:val="24"/>
          <w:szCs w:val="24"/>
          <w:lang w:val="en-GB" w:eastAsia="en-GB"/>
        </w:rPr>
        <w:t>Am J Med</w:t>
      </w:r>
      <w:r w:rsidRPr="00E61652">
        <w:rPr>
          <w:rFonts w:ascii="Times New Roman" w:eastAsia="Times New Roman" w:hAnsi="Times New Roman"/>
          <w:sz w:val="24"/>
          <w:szCs w:val="24"/>
          <w:lang w:val="en-GB" w:eastAsia="en-GB"/>
        </w:rPr>
        <w:t>. 1967</w:t>
      </w:r>
      <w:proofErr w:type="gramStart"/>
      <w:r w:rsidRPr="00E61652">
        <w:rPr>
          <w:rFonts w:ascii="Times New Roman" w:eastAsia="Times New Roman" w:hAnsi="Times New Roman"/>
          <w:sz w:val="24"/>
          <w:szCs w:val="24"/>
          <w:lang w:val="en-GB" w:eastAsia="en-GB"/>
        </w:rPr>
        <w:t>;42:27</w:t>
      </w:r>
      <w:proofErr w:type="gramEnd"/>
      <w:r w:rsidRPr="00E61652">
        <w:rPr>
          <w:rFonts w:ascii="Times New Roman" w:eastAsia="Times New Roman" w:hAnsi="Times New Roman"/>
          <w:sz w:val="24"/>
          <w:szCs w:val="24"/>
          <w:lang w:val="en-GB" w:eastAsia="en-GB"/>
        </w:rPr>
        <w:t>-37.</w:t>
      </w:r>
    </w:p>
    <w:p w:rsidR="00C41941" w:rsidRPr="00E61652" w:rsidRDefault="00C41941" w:rsidP="0043791B">
      <w:pPr>
        <w:pStyle w:val="ListParagraph"/>
        <w:numPr>
          <w:ilvl w:val="0"/>
          <w:numId w:val="1"/>
        </w:numPr>
        <w:spacing w:before="100" w:beforeAutospacing="1" w:after="100" w:afterAutospacing="1" w:line="360" w:lineRule="auto"/>
        <w:jc w:val="both"/>
        <w:rPr>
          <w:rFonts w:ascii="Times New Roman" w:eastAsia="Times New Roman" w:hAnsi="Times New Roman"/>
          <w:sz w:val="24"/>
          <w:szCs w:val="24"/>
          <w:lang w:val="en-GB" w:eastAsia="en-GB"/>
        </w:rPr>
      </w:pPr>
      <w:proofErr w:type="spellStart"/>
      <w:r w:rsidRPr="00E61652">
        <w:rPr>
          <w:rFonts w:ascii="Times New Roman" w:eastAsia="Times New Roman" w:hAnsi="Times New Roman"/>
          <w:bCs/>
          <w:sz w:val="24"/>
          <w:szCs w:val="24"/>
          <w:lang w:val="en-GB" w:eastAsia="en-GB"/>
        </w:rPr>
        <w:t>Fessel</w:t>
      </w:r>
      <w:proofErr w:type="spellEnd"/>
      <w:r w:rsidRPr="00E61652">
        <w:rPr>
          <w:rFonts w:ascii="Times New Roman" w:eastAsia="Times New Roman" w:hAnsi="Times New Roman"/>
          <w:bCs/>
          <w:sz w:val="24"/>
          <w:szCs w:val="24"/>
          <w:lang w:val="en-GB" w:eastAsia="en-GB"/>
        </w:rPr>
        <w:t xml:space="preserve"> WJ.</w:t>
      </w:r>
      <w:r w:rsidRPr="00E61652">
        <w:rPr>
          <w:rFonts w:ascii="Times New Roman" w:eastAsia="Times New Roman" w:hAnsi="Times New Roman"/>
          <w:sz w:val="24"/>
          <w:szCs w:val="24"/>
          <w:lang w:val="en-GB" w:eastAsia="en-GB"/>
        </w:rPr>
        <w:t xml:space="preserve"> Renal outcomes of gout and </w:t>
      </w:r>
      <w:proofErr w:type="spellStart"/>
      <w:r w:rsidRPr="00E61652">
        <w:rPr>
          <w:rFonts w:ascii="Times New Roman" w:eastAsia="Times New Roman" w:hAnsi="Times New Roman"/>
          <w:sz w:val="24"/>
          <w:szCs w:val="24"/>
          <w:lang w:val="en-GB" w:eastAsia="en-GB"/>
        </w:rPr>
        <w:t>hyperuricemia</w:t>
      </w:r>
      <w:proofErr w:type="spellEnd"/>
      <w:r w:rsidRPr="00E61652">
        <w:rPr>
          <w:rFonts w:ascii="Times New Roman" w:eastAsia="Times New Roman" w:hAnsi="Times New Roman"/>
          <w:sz w:val="24"/>
          <w:szCs w:val="24"/>
          <w:lang w:val="en-GB" w:eastAsia="en-GB"/>
        </w:rPr>
        <w:t xml:space="preserve">. </w:t>
      </w:r>
      <w:r w:rsidRPr="00E61652">
        <w:rPr>
          <w:rFonts w:ascii="Times New Roman" w:eastAsia="Times New Roman" w:hAnsi="Times New Roman"/>
          <w:i/>
          <w:iCs/>
          <w:sz w:val="24"/>
          <w:szCs w:val="24"/>
          <w:lang w:val="en-GB" w:eastAsia="en-GB"/>
        </w:rPr>
        <w:t>Am J Med</w:t>
      </w:r>
      <w:r w:rsidRPr="00E61652">
        <w:rPr>
          <w:rFonts w:ascii="Times New Roman" w:eastAsia="Times New Roman" w:hAnsi="Times New Roman"/>
          <w:sz w:val="24"/>
          <w:szCs w:val="24"/>
          <w:lang w:val="en-GB" w:eastAsia="en-GB"/>
        </w:rPr>
        <w:t>. 1979</w:t>
      </w:r>
      <w:proofErr w:type="gramStart"/>
      <w:r w:rsidRPr="00E61652">
        <w:rPr>
          <w:rFonts w:ascii="Times New Roman" w:eastAsia="Times New Roman" w:hAnsi="Times New Roman"/>
          <w:sz w:val="24"/>
          <w:szCs w:val="24"/>
          <w:lang w:val="en-GB" w:eastAsia="en-GB"/>
        </w:rPr>
        <w:t>;67:74</w:t>
      </w:r>
      <w:proofErr w:type="gramEnd"/>
      <w:r w:rsidRPr="00E61652">
        <w:rPr>
          <w:rFonts w:ascii="Times New Roman" w:eastAsia="Times New Roman" w:hAnsi="Times New Roman"/>
          <w:sz w:val="24"/>
          <w:szCs w:val="24"/>
          <w:lang w:val="en-GB" w:eastAsia="en-GB"/>
        </w:rPr>
        <w:t>-82.</w:t>
      </w:r>
    </w:p>
    <w:p w:rsidR="00C41941" w:rsidRPr="00E61652" w:rsidRDefault="00C41941" w:rsidP="0043791B">
      <w:pPr>
        <w:pStyle w:val="ListParagraph"/>
        <w:numPr>
          <w:ilvl w:val="0"/>
          <w:numId w:val="1"/>
        </w:numPr>
        <w:spacing w:before="100" w:beforeAutospacing="1" w:after="100" w:afterAutospacing="1" w:line="360" w:lineRule="auto"/>
        <w:jc w:val="both"/>
        <w:rPr>
          <w:rFonts w:ascii="Times New Roman" w:eastAsia="Times New Roman" w:hAnsi="Times New Roman"/>
          <w:sz w:val="24"/>
          <w:szCs w:val="24"/>
          <w:lang w:val="en-GB" w:eastAsia="en-GB"/>
        </w:rPr>
      </w:pPr>
      <w:r w:rsidRPr="00E61652">
        <w:rPr>
          <w:rFonts w:ascii="Times New Roman" w:eastAsia="Times New Roman" w:hAnsi="Times New Roman"/>
          <w:bCs/>
          <w:sz w:val="24"/>
          <w:szCs w:val="24"/>
          <w:lang w:val="en-GB" w:eastAsia="en-GB"/>
        </w:rPr>
        <w:t xml:space="preserve">Johnson RJ, </w:t>
      </w:r>
      <w:proofErr w:type="spellStart"/>
      <w:r w:rsidRPr="00E61652">
        <w:rPr>
          <w:rFonts w:ascii="Times New Roman" w:eastAsia="Times New Roman" w:hAnsi="Times New Roman"/>
          <w:bCs/>
          <w:sz w:val="24"/>
          <w:szCs w:val="24"/>
          <w:lang w:val="en-GB" w:eastAsia="en-GB"/>
        </w:rPr>
        <w:t>Feig</w:t>
      </w:r>
      <w:proofErr w:type="spellEnd"/>
      <w:r w:rsidRPr="00E61652">
        <w:rPr>
          <w:rFonts w:ascii="Times New Roman" w:eastAsia="Times New Roman" w:hAnsi="Times New Roman"/>
          <w:bCs/>
          <w:sz w:val="24"/>
          <w:szCs w:val="24"/>
          <w:lang w:val="en-GB" w:eastAsia="en-GB"/>
        </w:rPr>
        <w:t xml:space="preserve"> DI, Herrera-Acosta J, Kang DH.</w:t>
      </w:r>
      <w:r w:rsidRPr="00E61652">
        <w:rPr>
          <w:rFonts w:ascii="Times New Roman" w:eastAsia="Times New Roman" w:hAnsi="Times New Roman"/>
          <w:sz w:val="24"/>
          <w:szCs w:val="24"/>
          <w:lang w:val="en-GB" w:eastAsia="en-GB"/>
        </w:rPr>
        <w:t xml:space="preserve"> Resurrection of uric acid as a causal risk factor in essential hypertension. </w:t>
      </w:r>
      <w:r w:rsidRPr="00E61652">
        <w:rPr>
          <w:rFonts w:ascii="Times New Roman" w:eastAsia="Times New Roman" w:hAnsi="Times New Roman"/>
          <w:i/>
          <w:iCs/>
          <w:sz w:val="24"/>
          <w:szCs w:val="24"/>
          <w:lang w:val="en-GB" w:eastAsia="en-GB"/>
        </w:rPr>
        <w:t>Hypertension</w:t>
      </w:r>
      <w:r w:rsidRPr="00E61652">
        <w:rPr>
          <w:rFonts w:ascii="Times New Roman" w:eastAsia="Times New Roman" w:hAnsi="Times New Roman"/>
          <w:sz w:val="24"/>
          <w:szCs w:val="24"/>
          <w:lang w:val="en-GB" w:eastAsia="en-GB"/>
        </w:rPr>
        <w:t>. 2005</w:t>
      </w:r>
      <w:proofErr w:type="gramStart"/>
      <w:r w:rsidRPr="00E61652">
        <w:rPr>
          <w:rFonts w:ascii="Times New Roman" w:eastAsia="Times New Roman" w:hAnsi="Times New Roman"/>
          <w:sz w:val="24"/>
          <w:szCs w:val="24"/>
          <w:lang w:val="en-GB" w:eastAsia="en-GB"/>
        </w:rPr>
        <w:t>;45:18</w:t>
      </w:r>
      <w:proofErr w:type="gramEnd"/>
      <w:r w:rsidRPr="00E61652">
        <w:rPr>
          <w:rFonts w:ascii="Times New Roman" w:eastAsia="Times New Roman" w:hAnsi="Times New Roman"/>
          <w:sz w:val="24"/>
          <w:szCs w:val="24"/>
          <w:lang w:val="en-GB" w:eastAsia="en-GB"/>
        </w:rPr>
        <w:t>-20.</w:t>
      </w:r>
    </w:p>
    <w:p w:rsidR="00FC760C" w:rsidRPr="00E61652" w:rsidRDefault="00FC760C" w:rsidP="0043791B">
      <w:pPr>
        <w:pStyle w:val="ListParagraph"/>
        <w:numPr>
          <w:ilvl w:val="0"/>
          <w:numId w:val="1"/>
        </w:numPr>
        <w:autoSpaceDE w:val="0"/>
        <w:autoSpaceDN w:val="0"/>
        <w:adjustRightInd w:val="0"/>
        <w:spacing w:line="360" w:lineRule="auto"/>
        <w:jc w:val="both"/>
        <w:rPr>
          <w:rFonts w:ascii="Times New Roman" w:hAnsi="Times New Roman"/>
          <w:i/>
          <w:sz w:val="24"/>
          <w:szCs w:val="24"/>
        </w:rPr>
      </w:pPr>
      <w:r w:rsidRPr="00E61652">
        <w:rPr>
          <w:rFonts w:ascii="Times New Roman" w:hAnsi="Times New Roman"/>
          <w:sz w:val="24"/>
          <w:szCs w:val="24"/>
        </w:rPr>
        <w:t xml:space="preserve">Cohen </w:t>
      </w:r>
      <w:proofErr w:type="spellStart"/>
      <w:r w:rsidRPr="00E61652">
        <w:rPr>
          <w:rFonts w:ascii="Times New Roman" w:hAnsi="Times New Roman"/>
          <w:sz w:val="24"/>
          <w:szCs w:val="24"/>
        </w:rPr>
        <w:t>Eytan</w:t>
      </w:r>
      <w:proofErr w:type="spellEnd"/>
      <w:r w:rsidRPr="00E61652">
        <w:rPr>
          <w:rFonts w:ascii="Times New Roman" w:hAnsi="Times New Roman"/>
          <w:sz w:val="24"/>
          <w:szCs w:val="24"/>
        </w:rPr>
        <w:t xml:space="preserve">, </w:t>
      </w:r>
      <w:proofErr w:type="spellStart"/>
      <w:r w:rsidRPr="00E61652">
        <w:rPr>
          <w:rFonts w:ascii="Times New Roman" w:hAnsi="Times New Roman"/>
          <w:sz w:val="24"/>
          <w:szCs w:val="24"/>
        </w:rPr>
        <w:t>Ilan</w:t>
      </w:r>
      <w:proofErr w:type="spellEnd"/>
      <w:r w:rsidRPr="00E61652">
        <w:rPr>
          <w:rFonts w:ascii="Times New Roman" w:hAnsi="Times New Roman"/>
          <w:sz w:val="24"/>
          <w:szCs w:val="24"/>
        </w:rPr>
        <w:t xml:space="preserve"> Krause, Abigail Fraser, </w:t>
      </w:r>
      <w:proofErr w:type="spellStart"/>
      <w:r w:rsidRPr="00E61652">
        <w:rPr>
          <w:rFonts w:ascii="Times New Roman" w:hAnsi="Times New Roman"/>
          <w:sz w:val="24"/>
          <w:szCs w:val="24"/>
        </w:rPr>
        <w:t>Elad</w:t>
      </w:r>
      <w:proofErr w:type="spellEnd"/>
      <w:r w:rsidRPr="00E61652">
        <w:rPr>
          <w:rFonts w:ascii="Times New Roman" w:hAnsi="Times New Roman"/>
          <w:sz w:val="24"/>
          <w:szCs w:val="24"/>
        </w:rPr>
        <w:t xml:space="preserve"> Goldberg and Moshe </w:t>
      </w:r>
      <w:proofErr w:type="spellStart"/>
      <w:r w:rsidRPr="00E61652">
        <w:rPr>
          <w:rFonts w:ascii="Times New Roman" w:hAnsi="Times New Roman"/>
          <w:sz w:val="24"/>
          <w:szCs w:val="24"/>
        </w:rPr>
        <w:t>Garty</w:t>
      </w:r>
      <w:proofErr w:type="spellEnd"/>
      <w:r w:rsidRPr="00E61652">
        <w:rPr>
          <w:rFonts w:ascii="Times New Roman" w:hAnsi="Times New Roman"/>
          <w:sz w:val="24"/>
          <w:szCs w:val="24"/>
        </w:rPr>
        <w:t xml:space="preserve">. </w:t>
      </w:r>
      <w:proofErr w:type="spellStart"/>
      <w:r w:rsidRPr="00E61652">
        <w:rPr>
          <w:rFonts w:ascii="Times New Roman" w:hAnsi="Times New Roman"/>
          <w:bCs/>
          <w:sz w:val="24"/>
          <w:szCs w:val="24"/>
        </w:rPr>
        <w:t>Hyperuricemia</w:t>
      </w:r>
      <w:proofErr w:type="spellEnd"/>
      <w:r w:rsidRPr="00E61652">
        <w:rPr>
          <w:rFonts w:ascii="Times New Roman" w:hAnsi="Times New Roman"/>
          <w:bCs/>
          <w:sz w:val="24"/>
          <w:szCs w:val="24"/>
        </w:rPr>
        <w:t xml:space="preserve"> and Metabolic Syndrome: Lessons from a Large Cohort from Israel. </w:t>
      </w:r>
      <w:r w:rsidRPr="00E61652">
        <w:rPr>
          <w:rFonts w:ascii="Times New Roman" w:hAnsi="Times New Roman"/>
          <w:i/>
          <w:sz w:val="24"/>
          <w:szCs w:val="24"/>
        </w:rPr>
        <w:t>IMAJ 2012; 14: 676-680</w:t>
      </w:r>
    </w:p>
    <w:p w:rsidR="0043791B" w:rsidRPr="00E61652" w:rsidRDefault="0043791B" w:rsidP="0043791B">
      <w:pPr>
        <w:pStyle w:val="ListParagraph"/>
        <w:numPr>
          <w:ilvl w:val="0"/>
          <w:numId w:val="1"/>
        </w:numPr>
        <w:autoSpaceDE w:val="0"/>
        <w:autoSpaceDN w:val="0"/>
        <w:adjustRightInd w:val="0"/>
        <w:spacing w:line="360" w:lineRule="auto"/>
        <w:jc w:val="both"/>
        <w:rPr>
          <w:rFonts w:ascii="Times New Roman" w:hAnsi="Times New Roman"/>
          <w:sz w:val="24"/>
          <w:szCs w:val="24"/>
        </w:rPr>
      </w:pPr>
      <w:r w:rsidRPr="00E61652">
        <w:rPr>
          <w:rFonts w:ascii="Times New Roman" w:hAnsi="Times New Roman"/>
          <w:sz w:val="24"/>
          <w:szCs w:val="24"/>
        </w:rPr>
        <w:t xml:space="preserve">Anita, </w:t>
      </w:r>
      <w:proofErr w:type="spellStart"/>
      <w:r w:rsidRPr="00E61652">
        <w:rPr>
          <w:rFonts w:ascii="Times New Roman" w:hAnsi="Times New Roman"/>
          <w:sz w:val="24"/>
          <w:szCs w:val="24"/>
        </w:rPr>
        <w:t>Betri</w:t>
      </w:r>
      <w:proofErr w:type="spellEnd"/>
      <w:r w:rsidRPr="00E61652">
        <w:rPr>
          <w:rFonts w:ascii="Times New Roman" w:hAnsi="Times New Roman"/>
          <w:sz w:val="24"/>
          <w:szCs w:val="24"/>
        </w:rPr>
        <w:t xml:space="preserve">. </w:t>
      </w:r>
      <w:proofErr w:type="spellStart"/>
      <w:r w:rsidRPr="00E61652">
        <w:rPr>
          <w:rFonts w:ascii="Times New Roman" w:hAnsi="Times New Roman"/>
          <w:i/>
          <w:sz w:val="24"/>
          <w:szCs w:val="24"/>
        </w:rPr>
        <w:t>Hubungan</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karakteristik</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individu</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asupan</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makan</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dan</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faktor</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lainnya</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terhadap</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sindrom</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metabolik</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pada</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pegawai</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negeri</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sipil</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di</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lingkungan</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pemerintahan</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daerah</w:t>
      </w:r>
      <w:proofErr w:type="spellEnd"/>
      <w:r w:rsidRPr="00E61652">
        <w:rPr>
          <w:rFonts w:ascii="Times New Roman" w:hAnsi="Times New Roman"/>
          <w:i/>
          <w:sz w:val="24"/>
          <w:szCs w:val="24"/>
        </w:rPr>
        <w:t xml:space="preserve"> </w:t>
      </w:r>
      <w:proofErr w:type="spellStart"/>
      <w:proofErr w:type="gramStart"/>
      <w:r w:rsidRPr="00E61652">
        <w:rPr>
          <w:rFonts w:ascii="Times New Roman" w:hAnsi="Times New Roman"/>
          <w:i/>
          <w:sz w:val="24"/>
          <w:szCs w:val="24"/>
        </w:rPr>
        <w:t>kota</w:t>
      </w:r>
      <w:proofErr w:type="spellEnd"/>
      <w:proofErr w:type="gramEnd"/>
      <w:r w:rsidRPr="00E61652">
        <w:rPr>
          <w:rFonts w:ascii="Times New Roman" w:hAnsi="Times New Roman"/>
          <w:i/>
          <w:sz w:val="24"/>
          <w:szCs w:val="24"/>
        </w:rPr>
        <w:t xml:space="preserve"> </w:t>
      </w:r>
      <w:proofErr w:type="spellStart"/>
      <w:r w:rsidRPr="00E61652">
        <w:rPr>
          <w:rFonts w:ascii="Times New Roman" w:hAnsi="Times New Roman"/>
          <w:i/>
          <w:sz w:val="24"/>
          <w:szCs w:val="24"/>
        </w:rPr>
        <w:t>Depok</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tahun</w:t>
      </w:r>
      <w:proofErr w:type="spellEnd"/>
      <w:r w:rsidRPr="00E61652">
        <w:rPr>
          <w:rFonts w:ascii="Times New Roman" w:hAnsi="Times New Roman"/>
          <w:i/>
          <w:sz w:val="24"/>
          <w:szCs w:val="24"/>
        </w:rPr>
        <w:t xml:space="preserve"> 2009</w:t>
      </w:r>
      <w:r w:rsidR="004B702D" w:rsidRPr="00E61652">
        <w:rPr>
          <w:rFonts w:ascii="Times New Roman" w:hAnsi="Times New Roman"/>
          <w:sz w:val="24"/>
          <w:szCs w:val="24"/>
        </w:rPr>
        <w:t xml:space="preserve">. </w:t>
      </w:r>
      <w:proofErr w:type="spellStart"/>
      <w:r w:rsidR="004B702D" w:rsidRPr="00E61652">
        <w:rPr>
          <w:rFonts w:ascii="Times New Roman" w:hAnsi="Times New Roman"/>
          <w:sz w:val="24"/>
          <w:szCs w:val="24"/>
        </w:rPr>
        <w:t>Tesis</w:t>
      </w:r>
      <w:proofErr w:type="spellEnd"/>
      <w:r w:rsidR="004B702D" w:rsidRPr="00E61652">
        <w:rPr>
          <w:rFonts w:ascii="Times New Roman" w:hAnsi="Times New Roman"/>
          <w:sz w:val="24"/>
          <w:szCs w:val="24"/>
        </w:rPr>
        <w:t xml:space="preserve"> FKM UI. </w:t>
      </w:r>
      <w:r w:rsidRPr="00E61652">
        <w:rPr>
          <w:rFonts w:ascii="Times New Roman" w:hAnsi="Times New Roman"/>
          <w:sz w:val="24"/>
          <w:szCs w:val="24"/>
        </w:rPr>
        <w:t xml:space="preserve">2009 </w:t>
      </w:r>
    </w:p>
    <w:p w:rsidR="00C41941" w:rsidRPr="00E61652" w:rsidRDefault="00C41941" w:rsidP="0043791B">
      <w:pPr>
        <w:pStyle w:val="ListParagraph"/>
        <w:numPr>
          <w:ilvl w:val="0"/>
          <w:numId w:val="1"/>
        </w:numPr>
        <w:spacing w:line="360" w:lineRule="auto"/>
        <w:jc w:val="both"/>
        <w:rPr>
          <w:rFonts w:ascii="Times New Roman" w:eastAsia="Times New Roman" w:hAnsi="Times New Roman"/>
          <w:sz w:val="24"/>
          <w:szCs w:val="24"/>
          <w:lang w:eastAsia="id-ID"/>
        </w:rPr>
      </w:pPr>
      <w:proofErr w:type="spellStart"/>
      <w:r w:rsidRPr="00E61652">
        <w:rPr>
          <w:rFonts w:ascii="Times New Roman" w:eastAsia="Times New Roman" w:hAnsi="Times New Roman"/>
          <w:sz w:val="24"/>
          <w:szCs w:val="24"/>
          <w:lang w:eastAsia="id-ID"/>
        </w:rPr>
        <w:t>Sustrani</w:t>
      </w:r>
      <w:proofErr w:type="spellEnd"/>
      <w:r w:rsidRPr="00E61652">
        <w:rPr>
          <w:rFonts w:ascii="Times New Roman" w:eastAsia="Times New Roman" w:hAnsi="Times New Roman"/>
          <w:sz w:val="24"/>
          <w:szCs w:val="24"/>
          <w:lang w:eastAsia="id-ID"/>
        </w:rPr>
        <w:t xml:space="preserve">, </w:t>
      </w:r>
      <w:proofErr w:type="spellStart"/>
      <w:r w:rsidRPr="00E61652">
        <w:rPr>
          <w:rFonts w:ascii="Times New Roman" w:eastAsia="Times New Roman" w:hAnsi="Times New Roman"/>
          <w:sz w:val="24"/>
          <w:szCs w:val="24"/>
          <w:lang w:eastAsia="id-ID"/>
        </w:rPr>
        <w:t>Lanny</w:t>
      </w:r>
      <w:proofErr w:type="spellEnd"/>
      <w:r w:rsidRPr="00E61652">
        <w:rPr>
          <w:rFonts w:ascii="Times New Roman" w:eastAsia="Times New Roman" w:hAnsi="Times New Roman"/>
          <w:sz w:val="24"/>
          <w:szCs w:val="24"/>
          <w:lang w:eastAsia="id-ID"/>
        </w:rPr>
        <w:t xml:space="preserve">, </w:t>
      </w:r>
      <w:r w:rsidRPr="00E61652">
        <w:rPr>
          <w:rFonts w:ascii="Times New Roman" w:eastAsia="Times New Roman" w:hAnsi="Times New Roman"/>
          <w:i/>
          <w:sz w:val="24"/>
          <w:szCs w:val="24"/>
          <w:lang w:eastAsia="id-ID"/>
        </w:rPr>
        <w:t>et al</w:t>
      </w:r>
      <w:r w:rsidRPr="00E61652">
        <w:rPr>
          <w:rFonts w:ascii="Times New Roman" w:eastAsia="Times New Roman" w:hAnsi="Times New Roman"/>
          <w:sz w:val="24"/>
          <w:szCs w:val="24"/>
          <w:lang w:eastAsia="id-ID"/>
        </w:rPr>
        <w:t xml:space="preserve">. </w:t>
      </w:r>
      <w:proofErr w:type="spellStart"/>
      <w:r w:rsidRPr="00E61652">
        <w:rPr>
          <w:rFonts w:ascii="Times New Roman" w:eastAsia="Times New Roman" w:hAnsi="Times New Roman"/>
          <w:i/>
          <w:iCs/>
          <w:sz w:val="24"/>
          <w:szCs w:val="24"/>
          <w:lang w:eastAsia="id-ID"/>
        </w:rPr>
        <w:t>Asam</w:t>
      </w:r>
      <w:proofErr w:type="spellEnd"/>
      <w:r w:rsidRPr="00E61652">
        <w:rPr>
          <w:rFonts w:ascii="Times New Roman" w:eastAsia="Times New Roman" w:hAnsi="Times New Roman"/>
          <w:i/>
          <w:iCs/>
          <w:sz w:val="24"/>
          <w:szCs w:val="24"/>
          <w:lang w:eastAsia="id-ID"/>
        </w:rPr>
        <w:t xml:space="preserve"> </w:t>
      </w:r>
      <w:proofErr w:type="spellStart"/>
      <w:r w:rsidRPr="00E61652">
        <w:rPr>
          <w:rFonts w:ascii="Times New Roman" w:eastAsia="Times New Roman" w:hAnsi="Times New Roman"/>
          <w:i/>
          <w:iCs/>
          <w:sz w:val="24"/>
          <w:szCs w:val="24"/>
          <w:lang w:eastAsia="id-ID"/>
        </w:rPr>
        <w:t>Urat</w:t>
      </w:r>
      <w:proofErr w:type="spellEnd"/>
      <w:r w:rsidRPr="00E61652">
        <w:rPr>
          <w:rFonts w:ascii="Times New Roman" w:eastAsia="Times New Roman" w:hAnsi="Times New Roman"/>
          <w:i/>
          <w:iCs/>
          <w:sz w:val="24"/>
          <w:szCs w:val="24"/>
          <w:lang w:eastAsia="id-ID"/>
        </w:rPr>
        <w:t>.</w:t>
      </w:r>
      <w:r w:rsidRPr="00E61652">
        <w:rPr>
          <w:rFonts w:ascii="Times New Roman" w:eastAsia="Times New Roman" w:hAnsi="Times New Roman"/>
          <w:sz w:val="24"/>
          <w:szCs w:val="24"/>
          <w:lang w:eastAsia="id-ID"/>
        </w:rPr>
        <w:t xml:space="preserve"> PT </w:t>
      </w:r>
      <w:proofErr w:type="spellStart"/>
      <w:r w:rsidRPr="00E61652">
        <w:rPr>
          <w:rFonts w:ascii="Times New Roman" w:eastAsia="Times New Roman" w:hAnsi="Times New Roman"/>
          <w:sz w:val="24"/>
          <w:szCs w:val="24"/>
          <w:lang w:eastAsia="id-ID"/>
        </w:rPr>
        <w:t>Gramedia</w:t>
      </w:r>
      <w:proofErr w:type="spellEnd"/>
      <w:r w:rsidRPr="00E61652">
        <w:rPr>
          <w:rFonts w:ascii="Times New Roman" w:eastAsia="Times New Roman" w:hAnsi="Times New Roman"/>
          <w:sz w:val="24"/>
          <w:szCs w:val="24"/>
          <w:lang w:eastAsia="id-ID"/>
        </w:rPr>
        <w:t xml:space="preserve"> </w:t>
      </w:r>
      <w:proofErr w:type="spellStart"/>
      <w:r w:rsidRPr="00E61652">
        <w:rPr>
          <w:rFonts w:ascii="Times New Roman" w:eastAsia="Times New Roman" w:hAnsi="Times New Roman"/>
          <w:sz w:val="24"/>
          <w:szCs w:val="24"/>
          <w:lang w:eastAsia="id-ID"/>
        </w:rPr>
        <w:t>Utama</w:t>
      </w:r>
      <w:proofErr w:type="spellEnd"/>
      <w:r w:rsidRPr="00E61652">
        <w:rPr>
          <w:rFonts w:ascii="Times New Roman" w:eastAsia="Times New Roman" w:hAnsi="Times New Roman"/>
          <w:sz w:val="24"/>
          <w:szCs w:val="24"/>
          <w:lang w:eastAsia="id-ID"/>
        </w:rPr>
        <w:t>, Jakarta. 2006 </w:t>
      </w:r>
    </w:p>
    <w:p w:rsidR="00C41941" w:rsidRPr="00E61652" w:rsidRDefault="00C41941" w:rsidP="0043791B">
      <w:pPr>
        <w:pStyle w:val="ListParagraph"/>
        <w:numPr>
          <w:ilvl w:val="0"/>
          <w:numId w:val="1"/>
        </w:numPr>
        <w:spacing w:line="360" w:lineRule="auto"/>
        <w:jc w:val="both"/>
        <w:rPr>
          <w:rFonts w:ascii="Times New Roman" w:hAnsi="Times New Roman"/>
          <w:sz w:val="24"/>
          <w:szCs w:val="24"/>
        </w:rPr>
      </w:pPr>
      <w:proofErr w:type="spellStart"/>
      <w:r w:rsidRPr="00E61652">
        <w:rPr>
          <w:rFonts w:ascii="Times New Roman" w:hAnsi="Times New Roman"/>
          <w:sz w:val="24"/>
          <w:szCs w:val="24"/>
        </w:rPr>
        <w:t>Andr</w:t>
      </w:r>
      <w:r w:rsidR="00D429EB" w:rsidRPr="00E61652">
        <w:rPr>
          <w:rFonts w:ascii="Times New Roman" w:hAnsi="Times New Roman"/>
          <w:sz w:val="24"/>
          <w:szCs w:val="24"/>
        </w:rPr>
        <w:t>y</w:t>
      </w:r>
      <w:proofErr w:type="spellEnd"/>
      <w:r w:rsidR="00D429EB" w:rsidRPr="00E61652">
        <w:rPr>
          <w:rFonts w:ascii="Times New Roman" w:hAnsi="Times New Roman"/>
          <w:sz w:val="24"/>
          <w:szCs w:val="24"/>
        </w:rPr>
        <w:t xml:space="preserve">, </w:t>
      </w:r>
      <w:proofErr w:type="spellStart"/>
      <w:r w:rsidR="00D429EB" w:rsidRPr="00E61652">
        <w:rPr>
          <w:rFonts w:ascii="Times New Roman" w:hAnsi="Times New Roman"/>
          <w:sz w:val="24"/>
          <w:szCs w:val="24"/>
        </w:rPr>
        <w:t>Saryono</w:t>
      </w:r>
      <w:proofErr w:type="spellEnd"/>
      <w:r w:rsidR="00D429EB" w:rsidRPr="00E61652">
        <w:rPr>
          <w:rFonts w:ascii="Times New Roman" w:hAnsi="Times New Roman"/>
          <w:sz w:val="24"/>
          <w:szCs w:val="24"/>
        </w:rPr>
        <w:t xml:space="preserve"> </w:t>
      </w:r>
      <w:proofErr w:type="spellStart"/>
      <w:r w:rsidR="00D429EB" w:rsidRPr="00E61652">
        <w:rPr>
          <w:rFonts w:ascii="Times New Roman" w:hAnsi="Times New Roman"/>
          <w:sz w:val="24"/>
          <w:szCs w:val="24"/>
        </w:rPr>
        <w:t>dan</w:t>
      </w:r>
      <w:proofErr w:type="spellEnd"/>
      <w:r w:rsidR="00D429EB" w:rsidRPr="00E61652">
        <w:rPr>
          <w:rFonts w:ascii="Times New Roman" w:hAnsi="Times New Roman"/>
          <w:sz w:val="24"/>
          <w:szCs w:val="24"/>
        </w:rPr>
        <w:t xml:space="preserve"> </w:t>
      </w:r>
      <w:proofErr w:type="spellStart"/>
      <w:r w:rsidR="00D429EB" w:rsidRPr="00E61652">
        <w:rPr>
          <w:rFonts w:ascii="Times New Roman" w:hAnsi="Times New Roman"/>
          <w:sz w:val="24"/>
          <w:szCs w:val="24"/>
        </w:rPr>
        <w:t>Arif</w:t>
      </w:r>
      <w:proofErr w:type="spellEnd"/>
      <w:r w:rsidR="00D429EB" w:rsidRPr="00E61652">
        <w:rPr>
          <w:rFonts w:ascii="Times New Roman" w:hAnsi="Times New Roman"/>
          <w:sz w:val="24"/>
          <w:szCs w:val="24"/>
        </w:rPr>
        <w:t xml:space="preserve"> </w:t>
      </w:r>
      <w:proofErr w:type="spellStart"/>
      <w:r w:rsidR="00D429EB" w:rsidRPr="00E61652">
        <w:rPr>
          <w:rFonts w:ascii="Times New Roman" w:hAnsi="Times New Roman"/>
          <w:sz w:val="24"/>
          <w:szCs w:val="24"/>
        </w:rPr>
        <w:t>Setyo</w:t>
      </w:r>
      <w:proofErr w:type="spellEnd"/>
      <w:r w:rsidR="00D429EB" w:rsidRPr="00E61652">
        <w:rPr>
          <w:rFonts w:ascii="Times New Roman" w:hAnsi="Times New Roman"/>
          <w:sz w:val="24"/>
          <w:szCs w:val="24"/>
        </w:rPr>
        <w:t xml:space="preserve"> </w:t>
      </w:r>
      <w:proofErr w:type="spellStart"/>
      <w:r w:rsidR="00D429EB" w:rsidRPr="00E61652">
        <w:rPr>
          <w:rFonts w:ascii="Times New Roman" w:hAnsi="Times New Roman"/>
          <w:sz w:val="24"/>
          <w:szCs w:val="24"/>
        </w:rPr>
        <w:t>Upoyo</w:t>
      </w:r>
      <w:proofErr w:type="spellEnd"/>
      <w:r w:rsidR="00D429EB" w:rsidRPr="00E61652">
        <w:rPr>
          <w:rFonts w:ascii="Times New Roman" w:hAnsi="Times New Roman"/>
          <w:sz w:val="24"/>
          <w:szCs w:val="24"/>
        </w:rPr>
        <w:t xml:space="preserve">. </w:t>
      </w:r>
      <w:proofErr w:type="spellStart"/>
      <w:r w:rsidRPr="00E61652">
        <w:rPr>
          <w:rFonts w:ascii="Times New Roman" w:hAnsi="Times New Roman"/>
          <w:i/>
          <w:sz w:val="24"/>
          <w:szCs w:val="24"/>
        </w:rPr>
        <w:t>Analisis</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Faktor-faktor</w:t>
      </w:r>
      <w:proofErr w:type="spellEnd"/>
      <w:r w:rsidRPr="00E61652">
        <w:rPr>
          <w:rFonts w:ascii="Times New Roman" w:hAnsi="Times New Roman"/>
          <w:i/>
          <w:sz w:val="24"/>
          <w:szCs w:val="24"/>
        </w:rPr>
        <w:t xml:space="preserve"> yang </w:t>
      </w:r>
      <w:proofErr w:type="spellStart"/>
      <w:r w:rsidRPr="00E61652">
        <w:rPr>
          <w:rFonts w:ascii="Times New Roman" w:hAnsi="Times New Roman"/>
          <w:i/>
          <w:sz w:val="24"/>
          <w:szCs w:val="24"/>
        </w:rPr>
        <w:t>mempengaruhi</w:t>
      </w:r>
      <w:proofErr w:type="spellEnd"/>
      <w:r w:rsidRPr="00E61652">
        <w:rPr>
          <w:rFonts w:ascii="Times New Roman" w:hAnsi="Times New Roman"/>
          <w:i/>
          <w:sz w:val="24"/>
          <w:szCs w:val="24"/>
        </w:rPr>
        <w:t xml:space="preserve"> Kadar </w:t>
      </w:r>
      <w:proofErr w:type="spellStart"/>
      <w:r w:rsidRPr="00E61652">
        <w:rPr>
          <w:rFonts w:ascii="Times New Roman" w:hAnsi="Times New Roman"/>
          <w:i/>
          <w:sz w:val="24"/>
          <w:szCs w:val="24"/>
        </w:rPr>
        <w:t>Asam</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Urat</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Pada</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Pekerja</w:t>
      </w:r>
      <w:proofErr w:type="spellEnd"/>
      <w:r w:rsidRPr="00E61652">
        <w:rPr>
          <w:rFonts w:ascii="Times New Roman" w:hAnsi="Times New Roman"/>
          <w:i/>
          <w:sz w:val="24"/>
          <w:szCs w:val="24"/>
        </w:rPr>
        <w:t xml:space="preserve"> Kantor </w:t>
      </w:r>
      <w:proofErr w:type="spellStart"/>
      <w:r w:rsidRPr="00E61652">
        <w:rPr>
          <w:rFonts w:ascii="Times New Roman" w:hAnsi="Times New Roman"/>
          <w:i/>
          <w:sz w:val="24"/>
          <w:szCs w:val="24"/>
        </w:rPr>
        <w:t>di</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Desa</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Karang</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Turi</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Kecamatan</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Bumi</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Ayu</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Kabupaten</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Brebes</w:t>
      </w:r>
      <w:proofErr w:type="spellEnd"/>
      <w:r w:rsidRPr="00E61652">
        <w:rPr>
          <w:rFonts w:ascii="Times New Roman" w:hAnsi="Times New Roman"/>
          <w:sz w:val="24"/>
          <w:szCs w:val="24"/>
        </w:rPr>
        <w:t xml:space="preserve">. </w:t>
      </w:r>
      <w:proofErr w:type="spellStart"/>
      <w:r w:rsidRPr="00E61652">
        <w:rPr>
          <w:rFonts w:ascii="Times New Roman" w:hAnsi="Times New Roman"/>
          <w:sz w:val="24"/>
          <w:szCs w:val="24"/>
        </w:rPr>
        <w:t>Jurnal</w:t>
      </w:r>
      <w:proofErr w:type="spellEnd"/>
      <w:r w:rsidRPr="00E61652">
        <w:rPr>
          <w:rFonts w:ascii="Times New Roman" w:hAnsi="Times New Roman"/>
          <w:sz w:val="24"/>
          <w:szCs w:val="24"/>
        </w:rPr>
        <w:t xml:space="preserve"> </w:t>
      </w:r>
      <w:proofErr w:type="spellStart"/>
      <w:r w:rsidRPr="00E61652">
        <w:rPr>
          <w:rFonts w:ascii="Times New Roman" w:hAnsi="Times New Roman"/>
          <w:sz w:val="24"/>
          <w:szCs w:val="24"/>
        </w:rPr>
        <w:t>Keperawatan</w:t>
      </w:r>
      <w:proofErr w:type="spellEnd"/>
      <w:r w:rsidRPr="00E61652">
        <w:rPr>
          <w:rFonts w:ascii="Times New Roman" w:hAnsi="Times New Roman"/>
          <w:sz w:val="24"/>
          <w:szCs w:val="24"/>
        </w:rPr>
        <w:t xml:space="preserve"> </w:t>
      </w:r>
      <w:proofErr w:type="spellStart"/>
      <w:r w:rsidRPr="00E61652">
        <w:rPr>
          <w:rFonts w:ascii="Times New Roman" w:hAnsi="Times New Roman"/>
          <w:sz w:val="24"/>
          <w:szCs w:val="24"/>
        </w:rPr>
        <w:t>Soedirman</w:t>
      </w:r>
      <w:proofErr w:type="spellEnd"/>
      <w:r w:rsidRPr="00E61652">
        <w:rPr>
          <w:rFonts w:ascii="Times New Roman" w:hAnsi="Times New Roman"/>
          <w:sz w:val="24"/>
          <w:szCs w:val="24"/>
        </w:rPr>
        <w:t xml:space="preserve"> (The </w:t>
      </w:r>
      <w:proofErr w:type="spellStart"/>
      <w:r w:rsidRPr="00E61652">
        <w:rPr>
          <w:rFonts w:ascii="Times New Roman" w:hAnsi="Times New Roman"/>
          <w:sz w:val="24"/>
          <w:szCs w:val="24"/>
        </w:rPr>
        <w:t>Soedirman</w:t>
      </w:r>
      <w:proofErr w:type="spellEnd"/>
      <w:r w:rsidRPr="00E61652">
        <w:rPr>
          <w:rFonts w:ascii="Times New Roman" w:hAnsi="Times New Roman"/>
          <w:sz w:val="24"/>
          <w:szCs w:val="24"/>
        </w:rPr>
        <w:t xml:space="preserve"> Journal of Nursing), Volume  4 No.1 </w:t>
      </w:r>
      <w:proofErr w:type="spellStart"/>
      <w:r w:rsidRPr="00E61652">
        <w:rPr>
          <w:rFonts w:ascii="Times New Roman" w:hAnsi="Times New Roman"/>
          <w:sz w:val="24"/>
          <w:szCs w:val="24"/>
        </w:rPr>
        <w:t>Maret</w:t>
      </w:r>
      <w:proofErr w:type="spellEnd"/>
      <w:r w:rsidRPr="00E61652">
        <w:rPr>
          <w:rFonts w:ascii="Times New Roman" w:hAnsi="Times New Roman"/>
          <w:sz w:val="24"/>
          <w:szCs w:val="24"/>
        </w:rPr>
        <w:t xml:space="preserve"> 2009)</w:t>
      </w:r>
    </w:p>
    <w:p w:rsidR="00CE1865" w:rsidRPr="00E61652" w:rsidRDefault="00CE1865" w:rsidP="0043791B">
      <w:pPr>
        <w:pStyle w:val="ListParagraph"/>
        <w:numPr>
          <w:ilvl w:val="0"/>
          <w:numId w:val="1"/>
        </w:numPr>
        <w:spacing w:line="360" w:lineRule="auto"/>
        <w:jc w:val="both"/>
        <w:rPr>
          <w:rFonts w:ascii="Times New Roman" w:eastAsia="Times New Roman" w:hAnsi="Times New Roman"/>
          <w:sz w:val="24"/>
          <w:szCs w:val="24"/>
          <w:lang w:eastAsia="id-ID"/>
        </w:rPr>
      </w:pPr>
      <w:proofErr w:type="spellStart"/>
      <w:r w:rsidRPr="00E61652">
        <w:rPr>
          <w:rFonts w:ascii="Times New Roman" w:hAnsi="Times New Roman"/>
          <w:sz w:val="24"/>
          <w:szCs w:val="24"/>
        </w:rPr>
        <w:t>Kuzuya</w:t>
      </w:r>
      <w:proofErr w:type="spellEnd"/>
      <w:r w:rsidRPr="00E61652">
        <w:rPr>
          <w:rFonts w:ascii="Times New Roman" w:hAnsi="Times New Roman"/>
          <w:sz w:val="24"/>
          <w:szCs w:val="24"/>
        </w:rPr>
        <w:t xml:space="preserve"> M, Ando F, Iguchi A, </w:t>
      </w:r>
      <w:proofErr w:type="spellStart"/>
      <w:r w:rsidRPr="00E61652">
        <w:rPr>
          <w:rFonts w:ascii="Times New Roman" w:hAnsi="Times New Roman"/>
          <w:sz w:val="24"/>
          <w:szCs w:val="24"/>
        </w:rPr>
        <w:t>Shimokata</w:t>
      </w:r>
      <w:proofErr w:type="spellEnd"/>
      <w:r w:rsidRPr="00E61652">
        <w:rPr>
          <w:rFonts w:ascii="Times New Roman" w:hAnsi="Times New Roman"/>
          <w:sz w:val="24"/>
          <w:szCs w:val="24"/>
        </w:rPr>
        <w:t xml:space="preserve"> H. Effect of aging on serum uric acid levels: Longitudinal changes in a large Japanese population group. J </w:t>
      </w:r>
      <w:proofErr w:type="spellStart"/>
      <w:r w:rsidRPr="00E61652">
        <w:rPr>
          <w:rFonts w:ascii="Times New Roman" w:hAnsi="Times New Roman"/>
          <w:sz w:val="24"/>
          <w:szCs w:val="24"/>
        </w:rPr>
        <w:t>Gerontol</w:t>
      </w:r>
      <w:proofErr w:type="spellEnd"/>
      <w:r w:rsidRPr="00E61652">
        <w:rPr>
          <w:rFonts w:ascii="Times New Roman" w:hAnsi="Times New Roman"/>
          <w:sz w:val="24"/>
          <w:szCs w:val="24"/>
        </w:rPr>
        <w:t xml:space="preserve"> A </w:t>
      </w:r>
      <w:proofErr w:type="spellStart"/>
      <w:r w:rsidRPr="00E61652">
        <w:rPr>
          <w:rFonts w:ascii="Times New Roman" w:hAnsi="Times New Roman"/>
          <w:sz w:val="24"/>
          <w:szCs w:val="24"/>
        </w:rPr>
        <w:t>Biol</w:t>
      </w:r>
      <w:proofErr w:type="spellEnd"/>
      <w:r w:rsidRPr="00E61652">
        <w:rPr>
          <w:rFonts w:ascii="Times New Roman" w:hAnsi="Times New Roman"/>
          <w:sz w:val="24"/>
          <w:szCs w:val="24"/>
        </w:rPr>
        <w:t xml:space="preserve"> </w:t>
      </w:r>
      <w:proofErr w:type="spellStart"/>
      <w:r w:rsidRPr="00E61652">
        <w:rPr>
          <w:rFonts w:ascii="Times New Roman" w:hAnsi="Times New Roman"/>
          <w:sz w:val="24"/>
          <w:szCs w:val="24"/>
        </w:rPr>
        <w:t>Sci</w:t>
      </w:r>
      <w:proofErr w:type="spellEnd"/>
      <w:r w:rsidRPr="00E61652">
        <w:rPr>
          <w:rFonts w:ascii="Times New Roman" w:hAnsi="Times New Roman"/>
          <w:sz w:val="24"/>
          <w:szCs w:val="24"/>
        </w:rPr>
        <w:t xml:space="preserve"> Med </w:t>
      </w:r>
      <w:proofErr w:type="spellStart"/>
      <w:r w:rsidRPr="00E61652">
        <w:rPr>
          <w:rFonts w:ascii="Times New Roman" w:hAnsi="Times New Roman"/>
          <w:sz w:val="24"/>
          <w:szCs w:val="24"/>
        </w:rPr>
        <w:t>Sci</w:t>
      </w:r>
      <w:proofErr w:type="spellEnd"/>
      <w:r w:rsidRPr="00E61652">
        <w:rPr>
          <w:rFonts w:ascii="Times New Roman" w:hAnsi="Times New Roman"/>
          <w:sz w:val="24"/>
          <w:szCs w:val="24"/>
        </w:rPr>
        <w:t xml:space="preserve"> 2002</w:t>
      </w:r>
      <w:proofErr w:type="gramStart"/>
      <w:r w:rsidRPr="00E61652">
        <w:rPr>
          <w:rFonts w:ascii="Times New Roman" w:hAnsi="Times New Roman"/>
          <w:sz w:val="24"/>
          <w:szCs w:val="24"/>
        </w:rPr>
        <w:t>;57:M660</w:t>
      </w:r>
      <w:proofErr w:type="gramEnd"/>
      <w:r w:rsidRPr="00E61652">
        <w:rPr>
          <w:rFonts w:ascii="Times New Roman" w:hAnsi="Times New Roman"/>
          <w:sz w:val="24"/>
          <w:szCs w:val="24"/>
        </w:rPr>
        <w:t>-4.</w:t>
      </w:r>
    </w:p>
    <w:p w:rsidR="00C41941" w:rsidRPr="00E61652" w:rsidRDefault="004B702D" w:rsidP="0043791B">
      <w:pPr>
        <w:pStyle w:val="ListParagraph"/>
        <w:numPr>
          <w:ilvl w:val="0"/>
          <w:numId w:val="1"/>
        </w:numPr>
        <w:spacing w:line="360" w:lineRule="auto"/>
        <w:jc w:val="both"/>
        <w:rPr>
          <w:rFonts w:ascii="Times New Roman" w:eastAsia="Times New Roman" w:hAnsi="Times New Roman"/>
          <w:sz w:val="24"/>
          <w:szCs w:val="24"/>
          <w:lang w:eastAsia="id-ID"/>
        </w:rPr>
      </w:pPr>
      <w:proofErr w:type="spellStart"/>
      <w:r w:rsidRPr="00E61652">
        <w:rPr>
          <w:rFonts w:ascii="Times New Roman" w:eastAsia="Times New Roman" w:hAnsi="Times New Roman"/>
          <w:sz w:val="24"/>
          <w:szCs w:val="24"/>
          <w:lang w:eastAsia="id-ID"/>
        </w:rPr>
        <w:t>Krisnatuti</w:t>
      </w:r>
      <w:proofErr w:type="spellEnd"/>
      <w:r w:rsidRPr="00E61652">
        <w:rPr>
          <w:rFonts w:ascii="Times New Roman" w:eastAsia="Times New Roman" w:hAnsi="Times New Roman"/>
          <w:sz w:val="24"/>
          <w:szCs w:val="24"/>
          <w:lang w:eastAsia="id-ID"/>
        </w:rPr>
        <w:t xml:space="preserve">, </w:t>
      </w:r>
      <w:proofErr w:type="spellStart"/>
      <w:r w:rsidRPr="00E61652">
        <w:rPr>
          <w:rFonts w:ascii="Times New Roman" w:eastAsia="Times New Roman" w:hAnsi="Times New Roman"/>
          <w:sz w:val="24"/>
          <w:szCs w:val="24"/>
          <w:lang w:eastAsia="id-ID"/>
        </w:rPr>
        <w:t>Diah</w:t>
      </w:r>
      <w:proofErr w:type="spellEnd"/>
      <w:r w:rsidRPr="00E61652">
        <w:rPr>
          <w:rFonts w:ascii="Times New Roman" w:eastAsia="Times New Roman" w:hAnsi="Times New Roman"/>
          <w:sz w:val="24"/>
          <w:szCs w:val="24"/>
          <w:lang w:eastAsia="id-ID"/>
        </w:rPr>
        <w:t>, et ​​al</w:t>
      </w:r>
      <w:r w:rsidR="00C41941" w:rsidRPr="00E61652">
        <w:rPr>
          <w:rFonts w:ascii="Times New Roman" w:eastAsia="Times New Roman" w:hAnsi="Times New Roman"/>
          <w:sz w:val="24"/>
          <w:szCs w:val="24"/>
          <w:lang w:eastAsia="id-ID"/>
        </w:rPr>
        <w:t>. </w:t>
      </w:r>
      <w:proofErr w:type="spellStart"/>
      <w:r w:rsidR="00C41941" w:rsidRPr="00E61652">
        <w:rPr>
          <w:rFonts w:ascii="Times New Roman" w:eastAsia="Times New Roman" w:hAnsi="Times New Roman"/>
          <w:i/>
          <w:iCs/>
          <w:sz w:val="24"/>
          <w:szCs w:val="24"/>
          <w:lang w:eastAsia="id-ID"/>
        </w:rPr>
        <w:t>Perencanaan</w:t>
      </w:r>
      <w:proofErr w:type="spellEnd"/>
      <w:r w:rsidR="00C41941" w:rsidRPr="00E61652">
        <w:rPr>
          <w:rFonts w:ascii="Times New Roman" w:eastAsia="Times New Roman" w:hAnsi="Times New Roman"/>
          <w:i/>
          <w:iCs/>
          <w:sz w:val="24"/>
          <w:szCs w:val="24"/>
          <w:lang w:eastAsia="id-ID"/>
        </w:rPr>
        <w:t xml:space="preserve"> Menu </w:t>
      </w:r>
      <w:proofErr w:type="spellStart"/>
      <w:r w:rsidR="00C41941" w:rsidRPr="00E61652">
        <w:rPr>
          <w:rFonts w:ascii="Times New Roman" w:eastAsia="Times New Roman" w:hAnsi="Times New Roman"/>
          <w:i/>
          <w:iCs/>
          <w:sz w:val="24"/>
          <w:szCs w:val="24"/>
          <w:lang w:eastAsia="id-ID"/>
        </w:rPr>
        <w:t>untuk</w:t>
      </w:r>
      <w:proofErr w:type="spellEnd"/>
      <w:r w:rsidR="00C41941" w:rsidRPr="00E61652">
        <w:rPr>
          <w:rFonts w:ascii="Times New Roman" w:eastAsia="Times New Roman" w:hAnsi="Times New Roman"/>
          <w:i/>
          <w:iCs/>
          <w:sz w:val="24"/>
          <w:szCs w:val="24"/>
          <w:lang w:eastAsia="id-ID"/>
        </w:rPr>
        <w:t xml:space="preserve"> </w:t>
      </w:r>
      <w:proofErr w:type="spellStart"/>
      <w:r w:rsidR="00C41941" w:rsidRPr="00E61652">
        <w:rPr>
          <w:rFonts w:ascii="Times New Roman" w:eastAsia="Times New Roman" w:hAnsi="Times New Roman"/>
          <w:i/>
          <w:iCs/>
          <w:sz w:val="24"/>
          <w:szCs w:val="24"/>
          <w:lang w:eastAsia="id-ID"/>
        </w:rPr>
        <w:t>P</w:t>
      </w:r>
      <w:bookmarkStart w:id="1" w:name="_GoBack"/>
      <w:bookmarkEnd w:id="1"/>
      <w:r w:rsidR="00C41941" w:rsidRPr="00E61652">
        <w:rPr>
          <w:rFonts w:ascii="Times New Roman" w:eastAsia="Times New Roman" w:hAnsi="Times New Roman"/>
          <w:i/>
          <w:iCs/>
          <w:sz w:val="24"/>
          <w:szCs w:val="24"/>
          <w:lang w:eastAsia="id-ID"/>
        </w:rPr>
        <w:t>enderita</w:t>
      </w:r>
      <w:proofErr w:type="spellEnd"/>
      <w:r w:rsidR="00C41941" w:rsidRPr="00E61652">
        <w:rPr>
          <w:rFonts w:ascii="Times New Roman" w:eastAsia="Times New Roman" w:hAnsi="Times New Roman"/>
          <w:i/>
          <w:iCs/>
          <w:sz w:val="24"/>
          <w:szCs w:val="24"/>
          <w:lang w:eastAsia="id-ID"/>
        </w:rPr>
        <w:t xml:space="preserve"> </w:t>
      </w:r>
      <w:proofErr w:type="spellStart"/>
      <w:r w:rsidR="00C41941" w:rsidRPr="00E61652">
        <w:rPr>
          <w:rFonts w:ascii="Times New Roman" w:eastAsia="Times New Roman" w:hAnsi="Times New Roman"/>
          <w:i/>
          <w:iCs/>
          <w:sz w:val="24"/>
          <w:szCs w:val="24"/>
          <w:lang w:eastAsia="id-ID"/>
        </w:rPr>
        <w:t>Asam</w:t>
      </w:r>
      <w:proofErr w:type="spellEnd"/>
      <w:r w:rsidR="00C41941" w:rsidRPr="00E61652">
        <w:rPr>
          <w:rFonts w:ascii="Times New Roman" w:eastAsia="Times New Roman" w:hAnsi="Times New Roman"/>
          <w:i/>
          <w:iCs/>
          <w:sz w:val="24"/>
          <w:szCs w:val="24"/>
          <w:lang w:eastAsia="id-ID"/>
        </w:rPr>
        <w:t xml:space="preserve"> </w:t>
      </w:r>
      <w:proofErr w:type="spellStart"/>
      <w:r w:rsidR="00C41941" w:rsidRPr="00E61652">
        <w:rPr>
          <w:rFonts w:ascii="Times New Roman" w:eastAsia="Times New Roman" w:hAnsi="Times New Roman"/>
          <w:i/>
          <w:iCs/>
          <w:sz w:val="24"/>
          <w:szCs w:val="24"/>
          <w:lang w:eastAsia="id-ID"/>
        </w:rPr>
        <w:t>Urat</w:t>
      </w:r>
      <w:proofErr w:type="spellEnd"/>
      <w:r w:rsidR="00C41941" w:rsidRPr="00E61652">
        <w:rPr>
          <w:rFonts w:ascii="Times New Roman" w:eastAsia="Times New Roman" w:hAnsi="Times New Roman"/>
          <w:i/>
          <w:iCs/>
          <w:sz w:val="24"/>
          <w:szCs w:val="24"/>
          <w:lang w:eastAsia="id-ID"/>
        </w:rPr>
        <w:t>,</w:t>
      </w:r>
      <w:r w:rsidR="00C41941" w:rsidRPr="00E61652">
        <w:rPr>
          <w:rFonts w:ascii="Times New Roman" w:eastAsia="Times New Roman" w:hAnsi="Times New Roman"/>
          <w:sz w:val="24"/>
          <w:szCs w:val="24"/>
          <w:lang w:eastAsia="id-ID"/>
        </w:rPr>
        <w:t> Self spreader, Jakarta. 2008</w:t>
      </w:r>
    </w:p>
    <w:p w:rsidR="00C41941" w:rsidRPr="00E61652" w:rsidRDefault="00C41941" w:rsidP="0043791B">
      <w:pPr>
        <w:pStyle w:val="ListParagraph"/>
        <w:numPr>
          <w:ilvl w:val="0"/>
          <w:numId w:val="1"/>
        </w:numPr>
        <w:spacing w:after="0" w:line="360" w:lineRule="auto"/>
        <w:ind w:left="714" w:hanging="357"/>
        <w:jc w:val="both"/>
        <w:rPr>
          <w:rFonts w:ascii="Times New Roman" w:hAnsi="Times New Roman"/>
          <w:sz w:val="24"/>
          <w:szCs w:val="24"/>
        </w:rPr>
      </w:pPr>
      <w:proofErr w:type="spellStart"/>
      <w:r w:rsidRPr="00E61652">
        <w:rPr>
          <w:rFonts w:ascii="Times New Roman" w:hAnsi="Times New Roman"/>
          <w:sz w:val="24"/>
          <w:szCs w:val="24"/>
        </w:rPr>
        <w:t>Rohmatulum</w:t>
      </w:r>
      <w:proofErr w:type="spellEnd"/>
      <w:r w:rsidRPr="00E61652">
        <w:rPr>
          <w:rFonts w:ascii="Times New Roman" w:hAnsi="Times New Roman"/>
          <w:sz w:val="24"/>
          <w:szCs w:val="24"/>
        </w:rPr>
        <w:t xml:space="preserve">. </w:t>
      </w:r>
      <w:proofErr w:type="spellStart"/>
      <w:r w:rsidRPr="00E61652">
        <w:rPr>
          <w:rFonts w:ascii="Times New Roman" w:hAnsi="Times New Roman"/>
          <w:i/>
          <w:sz w:val="24"/>
          <w:szCs w:val="24"/>
        </w:rPr>
        <w:t>Gambaran</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asupan</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bahan</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makanan</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sumber</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purin</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dengan</w:t>
      </w:r>
      <w:proofErr w:type="spellEnd"/>
      <w:r w:rsidRPr="00E61652">
        <w:rPr>
          <w:rFonts w:ascii="Times New Roman" w:hAnsi="Times New Roman"/>
          <w:i/>
          <w:sz w:val="24"/>
          <w:szCs w:val="24"/>
        </w:rPr>
        <w:t xml:space="preserve"> </w:t>
      </w:r>
      <w:proofErr w:type="spellStart"/>
      <w:proofErr w:type="gramStart"/>
      <w:r w:rsidRPr="00E61652">
        <w:rPr>
          <w:rFonts w:ascii="Times New Roman" w:hAnsi="Times New Roman"/>
          <w:i/>
          <w:sz w:val="24"/>
          <w:szCs w:val="24"/>
        </w:rPr>
        <w:t>kadar</w:t>
      </w:r>
      <w:proofErr w:type="spellEnd"/>
      <w:proofErr w:type="gramEnd"/>
      <w:r w:rsidRPr="00E61652">
        <w:rPr>
          <w:rFonts w:ascii="Times New Roman" w:hAnsi="Times New Roman"/>
          <w:i/>
          <w:sz w:val="24"/>
          <w:szCs w:val="24"/>
        </w:rPr>
        <w:t xml:space="preserve"> </w:t>
      </w:r>
      <w:proofErr w:type="spellStart"/>
      <w:r w:rsidRPr="00E61652">
        <w:rPr>
          <w:rFonts w:ascii="Times New Roman" w:hAnsi="Times New Roman"/>
          <w:i/>
          <w:sz w:val="24"/>
          <w:szCs w:val="24"/>
        </w:rPr>
        <w:t>asam</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urat</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pada</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penderita</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hiperurisemia</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rawat</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inap</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di</w:t>
      </w:r>
      <w:proofErr w:type="spellEnd"/>
      <w:r w:rsidRPr="00E61652">
        <w:rPr>
          <w:rFonts w:ascii="Times New Roman" w:hAnsi="Times New Roman"/>
          <w:i/>
          <w:sz w:val="24"/>
          <w:szCs w:val="24"/>
        </w:rPr>
        <w:t xml:space="preserve"> RS RKU </w:t>
      </w:r>
      <w:proofErr w:type="spellStart"/>
      <w:r w:rsidRPr="00E61652">
        <w:rPr>
          <w:rFonts w:ascii="Times New Roman" w:hAnsi="Times New Roman"/>
          <w:i/>
          <w:sz w:val="24"/>
          <w:szCs w:val="24"/>
        </w:rPr>
        <w:t>Muhammadiyah</w:t>
      </w:r>
      <w:proofErr w:type="spellEnd"/>
      <w:r w:rsidRPr="00E61652">
        <w:rPr>
          <w:rFonts w:ascii="Times New Roman" w:hAnsi="Times New Roman"/>
          <w:i/>
          <w:sz w:val="24"/>
          <w:szCs w:val="24"/>
        </w:rPr>
        <w:t xml:space="preserve"> </w:t>
      </w:r>
      <w:proofErr w:type="spellStart"/>
      <w:r w:rsidRPr="00E61652">
        <w:rPr>
          <w:rFonts w:ascii="Times New Roman" w:hAnsi="Times New Roman"/>
          <w:i/>
          <w:sz w:val="24"/>
          <w:szCs w:val="24"/>
        </w:rPr>
        <w:t>Temanggung</w:t>
      </w:r>
      <w:proofErr w:type="spellEnd"/>
      <w:r w:rsidRPr="00E61652">
        <w:rPr>
          <w:rFonts w:ascii="Times New Roman" w:hAnsi="Times New Roman"/>
          <w:sz w:val="24"/>
          <w:szCs w:val="24"/>
        </w:rPr>
        <w:t xml:space="preserve">. </w:t>
      </w:r>
      <w:proofErr w:type="spellStart"/>
      <w:r w:rsidRPr="00E61652">
        <w:rPr>
          <w:rFonts w:ascii="Times New Roman" w:hAnsi="Times New Roman"/>
          <w:sz w:val="24"/>
          <w:szCs w:val="24"/>
        </w:rPr>
        <w:t>Skripsi</w:t>
      </w:r>
      <w:proofErr w:type="spellEnd"/>
      <w:r w:rsidRPr="00E61652">
        <w:rPr>
          <w:rFonts w:ascii="Times New Roman" w:hAnsi="Times New Roman"/>
          <w:sz w:val="24"/>
          <w:szCs w:val="24"/>
        </w:rPr>
        <w:t xml:space="preserve"> </w:t>
      </w:r>
      <w:proofErr w:type="spellStart"/>
      <w:r w:rsidRPr="00E61652">
        <w:rPr>
          <w:rFonts w:ascii="Times New Roman" w:hAnsi="Times New Roman"/>
          <w:sz w:val="24"/>
          <w:szCs w:val="24"/>
        </w:rPr>
        <w:t>Unimus</w:t>
      </w:r>
      <w:proofErr w:type="spellEnd"/>
      <w:r w:rsidRPr="00E61652">
        <w:rPr>
          <w:rFonts w:ascii="Times New Roman" w:hAnsi="Times New Roman"/>
          <w:sz w:val="24"/>
          <w:szCs w:val="24"/>
        </w:rPr>
        <w:t>.</w:t>
      </w:r>
      <w:r w:rsidR="00D429EB" w:rsidRPr="00E61652">
        <w:rPr>
          <w:rFonts w:ascii="Times New Roman" w:hAnsi="Times New Roman"/>
          <w:sz w:val="24"/>
          <w:szCs w:val="24"/>
        </w:rPr>
        <w:t xml:space="preserve"> 2010</w:t>
      </w:r>
    </w:p>
    <w:p w:rsidR="00C41941" w:rsidRPr="00022166" w:rsidRDefault="00C41941" w:rsidP="0043791B">
      <w:pPr>
        <w:spacing w:line="360" w:lineRule="auto"/>
        <w:ind w:left="360"/>
        <w:jc w:val="both"/>
        <w:rPr>
          <w:rFonts w:asciiTheme="majorHAnsi" w:hAnsiTheme="majorHAnsi"/>
          <w:sz w:val="24"/>
          <w:szCs w:val="24"/>
          <w:lang w:val="en-GB"/>
        </w:rPr>
      </w:pPr>
    </w:p>
    <w:p w:rsidR="00DC20EC" w:rsidRPr="00022166" w:rsidRDefault="00474D06" w:rsidP="0043791B">
      <w:pPr>
        <w:spacing w:line="360" w:lineRule="auto"/>
      </w:pPr>
    </w:p>
    <w:sectPr w:rsidR="00DC20EC" w:rsidRPr="00022166" w:rsidSect="00E61652">
      <w:pgSz w:w="11906" w:h="16838" w:code="9"/>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3019"/>
    <w:multiLevelType w:val="hybridMultilevel"/>
    <w:tmpl w:val="F69EC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C41941"/>
    <w:rsid w:val="00022166"/>
    <w:rsid w:val="00083A0D"/>
    <w:rsid w:val="00086AB9"/>
    <w:rsid w:val="000F04F9"/>
    <w:rsid w:val="00153789"/>
    <w:rsid w:val="001610E0"/>
    <w:rsid w:val="00163329"/>
    <w:rsid w:val="001E39F9"/>
    <w:rsid w:val="00203A1B"/>
    <w:rsid w:val="00263A78"/>
    <w:rsid w:val="002C5900"/>
    <w:rsid w:val="003357F8"/>
    <w:rsid w:val="00342AC4"/>
    <w:rsid w:val="00384857"/>
    <w:rsid w:val="00384C88"/>
    <w:rsid w:val="003A279B"/>
    <w:rsid w:val="0043791B"/>
    <w:rsid w:val="00447298"/>
    <w:rsid w:val="00465E68"/>
    <w:rsid w:val="00474D06"/>
    <w:rsid w:val="00477659"/>
    <w:rsid w:val="004B702D"/>
    <w:rsid w:val="004F4E82"/>
    <w:rsid w:val="0057270E"/>
    <w:rsid w:val="005A1F1A"/>
    <w:rsid w:val="005C1D7F"/>
    <w:rsid w:val="005F517E"/>
    <w:rsid w:val="00663874"/>
    <w:rsid w:val="006C7AB4"/>
    <w:rsid w:val="006D684D"/>
    <w:rsid w:val="0070493B"/>
    <w:rsid w:val="00712D30"/>
    <w:rsid w:val="007509EE"/>
    <w:rsid w:val="00824756"/>
    <w:rsid w:val="00840B01"/>
    <w:rsid w:val="008472C7"/>
    <w:rsid w:val="0089292D"/>
    <w:rsid w:val="008A2B3A"/>
    <w:rsid w:val="008C1299"/>
    <w:rsid w:val="00911457"/>
    <w:rsid w:val="009572F1"/>
    <w:rsid w:val="009B5567"/>
    <w:rsid w:val="00A2364C"/>
    <w:rsid w:val="00A37012"/>
    <w:rsid w:val="00A53815"/>
    <w:rsid w:val="00AC42E1"/>
    <w:rsid w:val="00C172E3"/>
    <w:rsid w:val="00C41941"/>
    <w:rsid w:val="00C6160B"/>
    <w:rsid w:val="00CE1865"/>
    <w:rsid w:val="00D429EB"/>
    <w:rsid w:val="00D73BD3"/>
    <w:rsid w:val="00E063FB"/>
    <w:rsid w:val="00E25A68"/>
    <w:rsid w:val="00E61652"/>
    <w:rsid w:val="00E93233"/>
    <w:rsid w:val="00F00065"/>
    <w:rsid w:val="00F5410D"/>
    <w:rsid w:val="00F61FC6"/>
    <w:rsid w:val="00FC4504"/>
    <w:rsid w:val="00FC760C"/>
    <w:rsid w:val="00FE2249"/>
    <w:rsid w:val="00FF7DC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941"/>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941"/>
    <w:rPr>
      <w:color w:val="0000FF"/>
      <w:u w:val="single"/>
    </w:rPr>
  </w:style>
  <w:style w:type="paragraph" w:styleId="ListParagraph">
    <w:name w:val="List Paragraph"/>
    <w:basedOn w:val="Normal"/>
    <w:uiPriority w:val="34"/>
    <w:qFormat/>
    <w:rsid w:val="00C41941"/>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59"/>
    <w:rsid w:val="00C4194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uiPriority w:val="99"/>
    <w:rsid w:val="00C41941"/>
    <w:rPr>
      <w:rFonts w:cs="Cambria"/>
      <w:color w:val="211D1E"/>
      <w:sz w:val="22"/>
      <w:szCs w:val="22"/>
    </w:rPr>
  </w:style>
  <w:style w:type="paragraph" w:customStyle="1" w:styleId="Default">
    <w:name w:val="Default"/>
    <w:rsid w:val="00C41941"/>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A0">
    <w:name w:val="A0"/>
    <w:uiPriority w:val="99"/>
    <w:rsid w:val="00C41941"/>
    <w:rPr>
      <w:rFonts w:cs="Cambria"/>
      <w:i/>
      <w:iCs/>
      <w:color w:val="211D1E"/>
      <w:sz w:val="18"/>
      <w:szCs w:val="18"/>
    </w:rPr>
  </w:style>
  <w:style w:type="character" w:styleId="CommentReference">
    <w:name w:val="annotation reference"/>
    <w:basedOn w:val="DefaultParagraphFont"/>
    <w:uiPriority w:val="99"/>
    <w:semiHidden/>
    <w:unhideWhenUsed/>
    <w:rsid w:val="00C41941"/>
    <w:rPr>
      <w:sz w:val="16"/>
      <w:szCs w:val="16"/>
    </w:rPr>
  </w:style>
  <w:style w:type="paragraph" w:styleId="CommentText">
    <w:name w:val="annotation text"/>
    <w:basedOn w:val="Normal"/>
    <w:link w:val="CommentTextChar"/>
    <w:uiPriority w:val="99"/>
    <w:semiHidden/>
    <w:unhideWhenUsed/>
    <w:rsid w:val="00C41941"/>
    <w:rPr>
      <w:sz w:val="20"/>
      <w:szCs w:val="20"/>
    </w:rPr>
  </w:style>
  <w:style w:type="character" w:customStyle="1" w:styleId="CommentTextChar">
    <w:name w:val="Comment Text Char"/>
    <w:basedOn w:val="DefaultParagraphFont"/>
    <w:link w:val="CommentText"/>
    <w:uiPriority w:val="99"/>
    <w:semiHidden/>
    <w:rsid w:val="00C41941"/>
    <w:rPr>
      <w:sz w:val="20"/>
      <w:szCs w:val="20"/>
      <w:lang w:val="id-ID"/>
    </w:rPr>
  </w:style>
  <w:style w:type="paragraph" w:styleId="BalloonText">
    <w:name w:val="Balloon Text"/>
    <w:basedOn w:val="Normal"/>
    <w:link w:val="BalloonTextChar"/>
    <w:uiPriority w:val="99"/>
    <w:semiHidden/>
    <w:unhideWhenUsed/>
    <w:rsid w:val="00C41941"/>
    <w:rPr>
      <w:rFonts w:ascii="Tahoma" w:hAnsi="Tahoma" w:cs="Tahoma"/>
      <w:sz w:val="16"/>
      <w:szCs w:val="16"/>
    </w:rPr>
  </w:style>
  <w:style w:type="character" w:customStyle="1" w:styleId="BalloonTextChar">
    <w:name w:val="Balloon Text Char"/>
    <w:basedOn w:val="DefaultParagraphFont"/>
    <w:link w:val="BalloonText"/>
    <w:uiPriority w:val="99"/>
    <w:semiHidden/>
    <w:rsid w:val="00C41941"/>
    <w:rPr>
      <w:rFonts w:ascii="Tahoma" w:hAnsi="Tahoma" w:cs="Tahoma"/>
      <w:sz w:val="16"/>
      <w:szCs w:val="16"/>
      <w:lang w:val="id-ID"/>
    </w:rPr>
  </w:style>
  <w:style w:type="paragraph" w:customStyle="1" w:styleId="Pa4">
    <w:name w:val="Pa4"/>
    <w:basedOn w:val="Default"/>
    <w:next w:val="Default"/>
    <w:uiPriority w:val="99"/>
    <w:rsid w:val="004F4E82"/>
    <w:pPr>
      <w:spacing w:line="241" w:lineRule="atLeast"/>
    </w:pPr>
    <w:rPr>
      <w:rFonts w:ascii="Cambria" w:eastAsiaTheme="minorHAnsi" w:hAnsi="Cambria" w:cstheme="minorBidi"/>
      <w:color w:val="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941"/>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941"/>
    <w:rPr>
      <w:color w:val="0000FF"/>
      <w:u w:val="single"/>
    </w:rPr>
  </w:style>
  <w:style w:type="paragraph" w:styleId="ListParagraph">
    <w:name w:val="List Paragraph"/>
    <w:basedOn w:val="Normal"/>
    <w:uiPriority w:val="34"/>
    <w:qFormat/>
    <w:rsid w:val="00C41941"/>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59"/>
    <w:rsid w:val="00C4194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uiPriority w:val="99"/>
    <w:rsid w:val="00C41941"/>
    <w:rPr>
      <w:rFonts w:cs="Cambria"/>
      <w:color w:val="211D1E"/>
      <w:sz w:val="22"/>
      <w:szCs w:val="22"/>
    </w:rPr>
  </w:style>
  <w:style w:type="paragraph" w:customStyle="1" w:styleId="Default">
    <w:name w:val="Default"/>
    <w:rsid w:val="00C41941"/>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A0">
    <w:name w:val="A0"/>
    <w:uiPriority w:val="99"/>
    <w:rsid w:val="00C41941"/>
    <w:rPr>
      <w:rFonts w:cs="Cambria"/>
      <w:i/>
      <w:iCs/>
      <w:color w:val="211D1E"/>
      <w:sz w:val="18"/>
      <w:szCs w:val="18"/>
    </w:rPr>
  </w:style>
  <w:style w:type="character" w:styleId="CommentReference">
    <w:name w:val="annotation reference"/>
    <w:basedOn w:val="DefaultParagraphFont"/>
    <w:uiPriority w:val="99"/>
    <w:semiHidden/>
    <w:unhideWhenUsed/>
    <w:rsid w:val="00C41941"/>
    <w:rPr>
      <w:sz w:val="16"/>
      <w:szCs w:val="16"/>
    </w:rPr>
  </w:style>
  <w:style w:type="paragraph" w:styleId="CommentText">
    <w:name w:val="annotation text"/>
    <w:basedOn w:val="Normal"/>
    <w:link w:val="CommentTextChar"/>
    <w:uiPriority w:val="99"/>
    <w:semiHidden/>
    <w:unhideWhenUsed/>
    <w:rsid w:val="00C41941"/>
    <w:rPr>
      <w:sz w:val="20"/>
      <w:szCs w:val="20"/>
    </w:rPr>
  </w:style>
  <w:style w:type="character" w:customStyle="1" w:styleId="CommentTextChar">
    <w:name w:val="Comment Text Char"/>
    <w:basedOn w:val="DefaultParagraphFont"/>
    <w:link w:val="CommentText"/>
    <w:uiPriority w:val="99"/>
    <w:semiHidden/>
    <w:rsid w:val="00C41941"/>
    <w:rPr>
      <w:sz w:val="20"/>
      <w:szCs w:val="20"/>
      <w:lang w:val="id-ID"/>
    </w:rPr>
  </w:style>
  <w:style w:type="paragraph" w:styleId="BalloonText">
    <w:name w:val="Balloon Text"/>
    <w:basedOn w:val="Normal"/>
    <w:link w:val="BalloonTextChar"/>
    <w:uiPriority w:val="99"/>
    <w:semiHidden/>
    <w:unhideWhenUsed/>
    <w:rsid w:val="00C41941"/>
    <w:rPr>
      <w:rFonts w:ascii="Tahoma" w:hAnsi="Tahoma" w:cs="Tahoma"/>
      <w:sz w:val="16"/>
      <w:szCs w:val="16"/>
    </w:rPr>
  </w:style>
  <w:style w:type="character" w:customStyle="1" w:styleId="BalloonTextChar">
    <w:name w:val="Balloon Text Char"/>
    <w:basedOn w:val="DefaultParagraphFont"/>
    <w:link w:val="BalloonText"/>
    <w:uiPriority w:val="99"/>
    <w:semiHidden/>
    <w:rsid w:val="00C41941"/>
    <w:rPr>
      <w:rFonts w:ascii="Tahoma" w:hAnsi="Tahoma" w:cs="Tahoma"/>
      <w:sz w:val="16"/>
      <w:szCs w:val="16"/>
      <w:lang w:val="id-ID"/>
    </w:rPr>
  </w:style>
  <w:style w:type="paragraph" w:customStyle="1" w:styleId="Pa4">
    <w:name w:val="Pa4"/>
    <w:basedOn w:val="Default"/>
    <w:next w:val="Default"/>
    <w:uiPriority w:val="99"/>
    <w:rsid w:val="004F4E82"/>
    <w:pPr>
      <w:spacing w:line="241" w:lineRule="atLeast"/>
    </w:pPr>
    <w:rPr>
      <w:rFonts w:ascii="Cambria" w:eastAsiaTheme="minorHAnsi" w:hAnsi="Cambria" w:cstheme="minorBidi"/>
      <w:color w:val="auto"/>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flita@seameo-recf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11</Pages>
  <Words>3162</Words>
  <Characters>18028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Acer</cp:lastModifiedBy>
  <cp:revision>36</cp:revision>
  <dcterms:created xsi:type="dcterms:W3CDTF">2016-11-09T01:28:00Z</dcterms:created>
  <dcterms:modified xsi:type="dcterms:W3CDTF">2018-02-13T07:37:00Z</dcterms:modified>
</cp:coreProperties>
</file>